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722A21">
        <w:rPr>
          <w:sz w:val="20"/>
          <w:szCs w:val="20"/>
        </w:rPr>
        <w:t>October</w:t>
      </w:r>
      <w:r>
        <w:rPr>
          <w:sz w:val="20"/>
          <w:szCs w:val="20"/>
        </w:rPr>
        <w:t xml:space="preserve"> </w:t>
      </w:r>
      <w:r w:rsidR="00722A21">
        <w:rPr>
          <w:sz w:val="20"/>
          <w:szCs w:val="20"/>
        </w:rPr>
        <w:t>4</w:t>
      </w:r>
      <w:r>
        <w:rPr>
          <w:sz w:val="20"/>
          <w:szCs w:val="20"/>
        </w:rPr>
        <w:t>, 2018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Jessica Hutchings, Assistant Vice President, Academic </w:t>
      </w:r>
      <w:proofErr w:type="gramStart"/>
      <w:r>
        <w:rPr>
          <w:sz w:val="20"/>
          <w:szCs w:val="20"/>
        </w:rPr>
        <w:t>Affairs</w:t>
      </w:r>
      <w:proofErr w:type="gramEnd"/>
      <w:r>
        <w:rPr>
          <w:sz w:val="20"/>
          <w:szCs w:val="20"/>
        </w:rPr>
        <w:t xml:space="preserve"> and IRE</w:t>
      </w:r>
    </w:p>
    <w:p w14:paraId="470968EC" w14:textId="44007372" w:rsidR="0001214A" w:rsidRPr="008D517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Interim Vice President, Student Affairs</w:t>
      </w:r>
      <w:r w:rsidR="008D5174">
        <w:rPr>
          <w:sz w:val="20"/>
          <w:szCs w:val="20"/>
        </w:rPr>
        <w:t xml:space="preserve"> (</w:t>
      </w:r>
      <w:r w:rsidR="008D5174">
        <w:rPr>
          <w:i/>
          <w:sz w:val="20"/>
          <w:szCs w:val="20"/>
        </w:rPr>
        <w:t>absent</w:t>
      </w:r>
      <w:r w:rsidR="008D5174">
        <w:rPr>
          <w:sz w:val="20"/>
          <w:szCs w:val="20"/>
        </w:rPr>
        <w:t>)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3FD62503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1556BE15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Darren Alcock, College of </w:t>
      </w:r>
      <w:proofErr w:type="gramStart"/>
      <w:r>
        <w:rPr>
          <w:sz w:val="20"/>
          <w:szCs w:val="20"/>
        </w:rPr>
        <w:t>Science</w:t>
      </w:r>
      <w:proofErr w:type="gramEnd"/>
      <w:r>
        <w:rPr>
          <w:sz w:val="20"/>
          <w:szCs w:val="20"/>
        </w:rPr>
        <w:t xml:space="preserve"> and Agriculture</w:t>
      </w:r>
    </w:p>
    <w:p w14:paraId="3BC6E4E0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Amber Hale, College of </w:t>
      </w:r>
      <w:proofErr w:type="gramStart"/>
      <w:r>
        <w:rPr>
          <w:sz w:val="20"/>
          <w:szCs w:val="20"/>
        </w:rPr>
        <w:t>Science</w:t>
      </w:r>
      <w:proofErr w:type="gramEnd"/>
      <w:r>
        <w:rPr>
          <w:sz w:val="20"/>
          <w:szCs w:val="20"/>
        </w:rPr>
        <w:t xml:space="preserve"> and Agriculture</w:t>
      </w:r>
    </w:p>
    <w:p w14:paraId="58473685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 Merchant, College of </w:t>
      </w:r>
      <w:proofErr w:type="gramStart"/>
      <w:r>
        <w:rPr>
          <w:sz w:val="20"/>
          <w:szCs w:val="20"/>
        </w:rPr>
        <w:t>Science</w:t>
      </w:r>
      <w:proofErr w:type="gramEnd"/>
      <w:r>
        <w:rPr>
          <w:sz w:val="20"/>
          <w:szCs w:val="20"/>
        </w:rPr>
        <w:t xml:space="preserve"> and Agriculture</w:t>
      </w:r>
    </w:p>
    <w:p w14:paraId="3F0381A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2936CD7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0E8A87F7" w14:textId="5525447D" w:rsidR="00BE2319" w:rsidRDefault="00BE2319" w:rsidP="006C77E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Announcements:</w:t>
      </w:r>
    </w:p>
    <w:p w14:paraId="11C1655A" w14:textId="5A25CBE2" w:rsidR="00BE2319" w:rsidRDefault="00B66134" w:rsidP="00BE23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Travel update:  Dr. Smith will not be able to make it, so the other humanities representatives </w:t>
      </w:r>
      <w:r w:rsidR="00FF4ABF">
        <w:rPr>
          <w:sz w:val="20"/>
          <w:szCs w:val="20"/>
        </w:rPr>
        <w:t>will have to be a little more attentive.</w:t>
      </w:r>
    </w:p>
    <w:p w14:paraId="770B81E1" w14:textId="2529875F" w:rsidR="00FF4ABF" w:rsidRDefault="00FF4ABF" w:rsidP="00BE23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dean and department head retreat will be next Thursday, October 11. Jessica will provide an update to deans and department heads on the status of the redesign.</w:t>
      </w:r>
    </w:p>
    <w:p w14:paraId="0C4A5DFF" w14:textId="3AFF52F4" w:rsidR="008D5174" w:rsidRPr="008D5174" w:rsidRDefault="00E02F09" w:rsidP="008D517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General Education Assessment Council (GEAC) will meet on Tuesday, October 23</w:t>
      </w:r>
      <w:r w:rsidR="001E7606">
        <w:rPr>
          <w:sz w:val="20"/>
          <w:szCs w:val="20"/>
        </w:rPr>
        <w:t xml:space="preserve">, and Jessica will provide </w:t>
      </w:r>
      <w:r w:rsidR="00723CD3">
        <w:rPr>
          <w:sz w:val="20"/>
          <w:szCs w:val="20"/>
        </w:rPr>
        <w:t>the Council with an update on the redesign as well.</w:t>
      </w:r>
    </w:p>
    <w:p w14:paraId="34561883" w14:textId="3E3190BD" w:rsidR="006C77E9" w:rsidRDefault="006C77E9" w:rsidP="006C77E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Task Force charge and plan:</w:t>
      </w:r>
    </w:p>
    <w:p w14:paraId="65F73A65" w14:textId="77777777"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Task Force will develop general education student learning outcomes.</w:t>
      </w:r>
    </w:p>
    <w:p w14:paraId="5888289B" w14:textId="77777777"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University will redesign general education core courses and capstone courses to align with the new student learning outcomes.</w:t>
      </w:r>
    </w:p>
    <w:p w14:paraId="7A8A9C12" w14:textId="701E3D2B"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University will design co-curricular experiences for the first year that align with the new student learning outcomes.</w:t>
      </w:r>
    </w:p>
    <w:p w14:paraId="30F78BEB" w14:textId="77777777" w:rsidR="008D5174" w:rsidRDefault="008D5174" w:rsidP="00EB38E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Rough timeline for this committee:</w:t>
      </w:r>
    </w:p>
    <w:p w14:paraId="23BF7144" w14:textId="77777777" w:rsidR="008D5174" w:rsidRDefault="008D5174" w:rsidP="00EB38E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December 2019:  Approval of new student learning outcomes.</w:t>
      </w:r>
      <w:proofErr w:type="gramEnd"/>
    </w:p>
    <w:p w14:paraId="02690EB4" w14:textId="77777777" w:rsidR="008D5174" w:rsidRDefault="008D5174" w:rsidP="00EB38E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February 2019:  AAC&amp;U General Education Conference.</w:t>
      </w:r>
      <w:proofErr w:type="gramEnd"/>
    </w:p>
    <w:p w14:paraId="1365D06E" w14:textId="77777777" w:rsidR="008D5174" w:rsidRDefault="008D5174" w:rsidP="00EB38E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Spring 2019:  Rubric development for new SLOs.</w:t>
      </w:r>
      <w:proofErr w:type="gramEnd"/>
    </w:p>
    <w:p w14:paraId="43F9D8EA" w14:textId="77777777" w:rsidR="008D5174" w:rsidRDefault="008D5174" w:rsidP="00EB38E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we assess our new SLOs?</w:t>
      </w:r>
    </w:p>
    <w:p w14:paraId="63036864" w14:textId="77777777" w:rsidR="008D5174" w:rsidRDefault="008D5174" w:rsidP="00EB38E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need to design a process for institutional assessment and have it in place </w:t>
      </w:r>
      <w:r>
        <w:rPr>
          <w:b/>
          <w:sz w:val="20"/>
          <w:szCs w:val="20"/>
        </w:rPr>
        <w:t>before</w:t>
      </w:r>
      <w:r>
        <w:rPr>
          <w:sz w:val="20"/>
          <w:szCs w:val="20"/>
        </w:rPr>
        <w:t xml:space="preserve"> we implement.</w:t>
      </w:r>
    </w:p>
    <w:p w14:paraId="14C8A6F0" w14:textId="77777777" w:rsidR="008D5174" w:rsidRDefault="008D5174" w:rsidP="00EB38E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Summer 2019:  Course and syllabi analysis.</w:t>
      </w:r>
      <w:proofErr w:type="gramEnd"/>
    </w:p>
    <w:p w14:paraId="70B8FA29" w14:textId="77777777" w:rsidR="008D5174" w:rsidRDefault="008D5174" w:rsidP="00EB38E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Which courses/assignments need redevelopment?</w:t>
      </w:r>
    </w:p>
    <w:p w14:paraId="0361E0D9" w14:textId="77777777" w:rsidR="008D5174" w:rsidRDefault="008D5174" w:rsidP="00EB38E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Which courses need to embed SLOs?</w:t>
      </w:r>
    </w:p>
    <w:p w14:paraId="5CFB9250" w14:textId="77777777" w:rsidR="008D5174" w:rsidRDefault="008D5174" w:rsidP="00EB38E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Will we need to implement the redesign in phases?</w:t>
      </w:r>
    </w:p>
    <w:p w14:paraId="3A28EAB8" w14:textId="77777777" w:rsidR="008D5174" w:rsidRDefault="008D5174" w:rsidP="00EB38E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Spring and </w:t>
      </w:r>
      <w:proofErr w:type="gramStart"/>
      <w:r>
        <w:rPr>
          <w:sz w:val="20"/>
          <w:szCs w:val="20"/>
        </w:rPr>
        <w:t>Summer</w:t>
      </w:r>
      <w:proofErr w:type="gramEnd"/>
      <w:r>
        <w:rPr>
          <w:sz w:val="20"/>
          <w:szCs w:val="20"/>
        </w:rPr>
        <w:t xml:space="preserve"> 2019:  Co-curricular FYE development.</w:t>
      </w:r>
    </w:p>
    <w:p w14:paraId="4EC15EA6" w14:textId="77777777" w:rsidR="008D5174" w:rsidRDefault="008D5174" w:rsidP="00EB38E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Will we need a sub-committee at this point?</w:t>
      </w:r>
    </w:p>
    <w:p w14:paraId="6B58DCEB" w14:textId="77777777" w:rsidR="008D5174" w:rsidRDefault="008D5174" w:rsidP="00EB38E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Who should serve on the sub-committee?</w:t>
      </w:r>
    </w:p>
    <w:p w14:paraId="4B2022AD" w14:textId="77777777" w:rsidR="008D5174" w:rsidRDefault="008D5174" w:rsidP="00EB38E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Fall 2019:  FYE co-curricular pilot?</w:t>
      </w:r>
      <w:proofErr w:type="gramEnd"/>
    </w:p>
    <w:p w14:paraId="2ADF11B4" w14:textId="77777777" w:rsidR="008D5174" w:rsidRDefault="008D5174" w:rsidP="00EB38E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Fall and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2019:  Targeted course and assignment design.</w:t>
      </w:r>
    </w:p>
    <w:p w14:paraId="4AB6EB79" w14:textId="77777777" w:rsidR="008D5174" w:rsidRDefault="008D5174" w:rsidP="00EB38E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Fall and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2019:  Assessment and approval process development.</w:t>
      </w:r>
    </w:p>
    <w:p w14:paraId="531D955A" w14:textId="5EA7B59D" w:rsidR="008D5174" w:rsidRPr="008D5174" w:rsidRDefault="008D5174" w:rsidP="008D517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Spring and </w:t>
      </w:r>
      <w:proofErr w:type="gramStart"/>
      <w:r>
        <w:rPr>
          <w:sz w:val="20"/>
          <w:szCs w:val="20"/>
        </w:rPr>
        <w:t>Summer</w:t>
      </w:r>
      <w:proofErr w:type="gramEnd"/>
      <w:r>
        <w:rPr>
          <w:sz w:val="20"/>
          <w:szCs w:val="20"/>
        </w:rPr>
        <w:t xml:space="preserve"> 2019:  Staff implements new courses for Fall 2020?</w:t>
      </w:r>
    </w:p>
    <w:p w14:paraId="6813BC05" w14:textId="059BDEF3" w:rsidR="002814F4" w:rsidRDefault="002814F4" w:rsidP="005248F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do get information?</w:t>
      </w:r>
    </w:p>
    <w:p w14:paraId="47C4B212" w14:textId="4178FA45" w:rsidR="005248F6" w:rsidRDefault="005248F6" w:rsidP="005248F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Jessica provided </w:t>
      </w:r>
      <w:r w:rsidR="00EF08CD">
        <w:rPr>
          <w:sz w:val="20"/>
          <w:szCs w:val="20"/>
        </w:rPr>
        <w:t>the Task Force with a sample survey to be sent out to stakeholders to collect input on SLOs.</w:t>
      </w:r>
    </w:p>
    <w:p w14:paraId="592612A4" w14:textId="5A28FBFF" w:rsidR="00C2196B" w:rsidRDefault="00C2196B" w:rsidP="00C2196B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Task Force narrowed down the AAC&amp;U outcomes</w:t>
      </w:r>
      <w:r w:rsidR="00792FA3">
        <w:rPr>
          <w:sz w:val="20"/>
          <w:szCs w:val="20"/>
        </w:rPr>
        <w:t>, and Jessica is going to narrow down the definitions.</w:t>
      </w:r>
      <w:r w:rsidR="00D9673E">
        <w:rPr>
          <w:sz w:val="20"/>
          <w:szCs w:val="20"/>
        </w:rPr>
        <w:t xml:space="preserve"> She will then send the Task Force a revised survey for approval, and then distribute the survey on the Monday following Fall Break.</w:t>
      </w:r>
    </w:p>
    <w:p w14:paraId="71584013" w14:textId="66AA42BE" w:rsidR="001A7867" w:rsidRDefault="001A7867" w:rsidP="00C2196B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Jessica will also create a one-minute </w:t>
      </w:r>
      <w:r w:rsidR="00307A6A">
        <w:rPr>
          <w:sz w:val="20"/>
          <w:szCs w:val="20"/>
        </w:rPr>
        <w:t>video explaining the importance of the survey.</w:t>
      </w:r>
    </w:p>
    <w:p w14:paraId="7E31FB80" w14:textId="578F7AF6" w:rsidR="0053448D" w:rsidRDefault="008F4ED1" w:rsidP="00CC041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will speak with Dr. Adrian regarding having deans hold college meetings to discuss the general education redesigns.</w:t>
      </w:r>
    </w:p>
    <w:p w14:paraId="366D1858" w14:textId="26353E4E" w:rsidR="00CC041E" w:rsidRDefault="00CC041E" w:rsidP="00CC041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Let’s talk about data that can inform our decisions:</w:t>
      </w:r>
    </w:p>
    <w:p w14:paraId="63A3EAB5" w14:textId="40061B68" w:rsidR="00CC041E" w:rsidRDefault="00CC041E" w:rsidP="00CC041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2017-2018 General Education Assessment Plan</w:t>
      </w:r>
    </w:p>
    <w:p w14:paraId="25A77837" w14:textId="45564B22" w:rsidR="00CC041E" w:rsidRDefault="00CC041E" w:rsidP="00CC041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QEP research</w:t>
      </w:r>
    </w:p>
    <w:p w14:paraId="1A8D35D7" w14:textId="3803CDEA" w:rsidR="00CC041E" w:rsidRDefault="00CC041E" w:rsidP="00CC041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Faculty and Student Evaluations of Advising</w:t>
      </w:r>
    </w:p>
    <w:p w14:paraId="04FF4A3A" w14:textId="316B5A9A" w:rsidR="00CC041E" w:rsidRDefault="00CC041E" w:rsidP="00CC041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National Survey of Student Engagement (NSSE)</w:t>
      </w:r>
    </w:p>
    <w:p w14:paraId="7E7F8F26" w14:textId="0AE98CE3" w:rsidR="00CC041E" w:rsidRDefault="00CC041E" w:rsidP="00CC041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Integrated Post-secondary Education Data System (IPEDS)</w:t>
      </w:r>
    </w:p>
    <w:p w14:paraId="3CCE9A29" w14:textId="217AFD74" w:rsidR="00CC041E" w:rsidRDefault="00CC041E" w:rsidP="00CC041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GradFest</w:t>
      </w:r>
    </w:p>
    <w:p w14:paraId="065A1FA0" w14:textId="2FC33CFD" w:rsidR="00420122" w:rsidRDefault="00420122" w:rsidP="0042012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else do we have?</w:t>
      </w:r>
    </w:p>
    <w:p w14:paraId="7007717A" w14:textId="1BAA2F35" w:rsidR="00420122" w:rsidRDefault="00420122" w:rsidP="0042012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SEI data</w:t>
      </w:r>
    </w:p>
    <w:p w14:paraId="6AE1D5B3" w14:textId="6AD27AAC" w:rsidR="00420122" w:rsidRDefault="00420122" w:rsidP="0042012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Academic history</w:t>
      </w:r>
    </w:p>
    <w:p w14:paraId="27B91491" w14:textId="32679262" w:rsidR="00420122" w:rsidRDefault="00420122" w:rsidP="0042012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Syllabi</w:t>
      </w:r>
    </w:p>
    <w:p w14:paraId="4A679AA2" w14:textId="7314CE6A" w:rsidR="00420122" w:rsidRDefault="00420122" w:rsidP="0042012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Department and program planning/assessment reports</w:t>
      </w:r>
    </w:p>
    <w:p w14:paraId="003FB4AB" w14:textId="3FDA0B88" w:rsidR="00420122" w:rsidRPr="00CC041E" w:rsidRDefault="00420122" w:rsidP="0042012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Accreditation reports and feedback</w:t>
      </w:r>
    </w:p>
    <w:p w14:paraId="32924F9B" w14:textId="77777777" w:rsidR="006C77E9" w:rsidRDefault="006C77E9" w:rsidP="006C77E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First Year Experience</w:t>
      </w:r>
    </w:p>
    <w:p w14:paraId="3204CAE5" w14:textId="4CD507ED"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Which courses should students take their first year</w:t>
      </w:r>
      <w:r w:rsidR="00B87AB4">
        <w:rPr>
          <w:sz w:val="20"/>
          <w:szCs w:val="20"/>
        </w:rPr>
        <w:t xml:space="preserve"> (i.e., pathways)</w:t>
      </w:r>
      <w:r>
        <w:rPr>
          <w:sz w:val="20"/>
          <w:szCs w:val="20"/>
        </w:rPr>
        <w:t>?</w:t>
      </w:r>
    </w:p>
    <w:p w14:paraId="7CE88802" w14:textId="77777777"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can we make a simple adjustment in the curriculum to begin the refining process?</w:t>
      </w:r>
    </w:p>
    <w:p w14:paraId="7FB6A63D" w14:textId="77777777"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co-curricular activities can we add to the general education core?</w:t>
      </w:r>
    </w:p>
    <w:p w14:paraId="1D14798F" w14:textId="73D248F7"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would a sub-committee look like for this facet of our charge?</w:t>
      </w:r>
    </w:p>
    <w:p w14:paraId="65462D21" w14:textId="4D1B49A8" w:rsidR="0043705D" w:rsidRDefault="0043705D" w:rsidP="0043705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823E1B">
        <w:rPr>
          <w:sz w:val="20"/>
          <w:szCs w:val="20"/>
        </w:rPr>
        <w:t>ooks:</w:t>
      </w:r>
    </w:p>
    <w:p w14:paraId="2AE59BD5" w14:textId="7F380652" w:rsidR="00823E1B" w:rsidRDefault="00823E1B" w:rsidP="00823E1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Developing and Sustaining Successful First-Year Programs:  A Guide for Practitioners</w:t>
      </w:r>
    </w:p>
    <w:p w14:paraId="2357675C" w14:textId="01A8D0CF" w:rsidR="00823E1B" w:rsidRDefault="00823E1B" w:rsidP="00823E1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Undergraduate Experience:  Focusing Institutions on What Matters Most</w:t>
      </w:r>
    </w:p>
    <w:p w14:paraId="445F3B30" w14:textId="7460A8C5" w:rsidR="009F7496" w:rsidRDefault="009F7496" w:rsidP="009F749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Low-hanging fruit:</w:t>
      </w:r>
    </w:p>
    <w:p w14:paraId="514EFB77" w14:textId="5696CA9E" w:rsidR="00C13B65" w:rsidRDefault="009F7496" w:rsidP="00C13B6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Advising rule that first-year freshmen MUST enroll in X</w:t>
      </w:r>
      <w:r w:rsidR="00AC092C">
        <w:rPr>
          <w:sz w:val="20"/>
          <w:szCs w:val="20"/>
        </w:rPr>
        <w:t>YZ</w:t>
      </w:r>
      <w:r w:rsidR="007A276E">
        <w:rPr>
          <w:sz w:val="20"/>
          <w:szCs w:val="20"/>
        </w:rPr>
        <w:t>, a 30-hour pathway.</w:t>
      </w:r>
      <w:r w:rsidR="00556A5E">
        <w:rPr>
          <w:sz w:val="20"/>
          <w:szCs w:val="20"/>
        </w:rPr>
        <w:t xml:space="preserve"> How </w:t>
      </w:r>
      <w:r w:rsidR="004D4023">
        <w:rPr>
          <w:sz w:val="20"/>
          <w:szCs w:val="20"/>
        </w:rPr>
        <w:t xml:space="preserve">would we enforce this? Can the registrar do something on the technical side? Can advisors enroll them immediately? </w:t>
      </w:r>
      <w:r w:rsidR="004F168B">
        <w:rPr>
          <w:sz w:val="20"/>
          <w:szCs w:val="20"/>
        </w:rPr>
        <w:t>T</w:t>
      </w:r>
      <w:r w:rsidR="00C13B65">
        <w:rPr>
          <w:sz w:val="20"/>
          <w:szCs w:val="20"/>
        </w:rPr>
        <w:t>hese are questions for Karen Westfall, Catrina Boenig, Stephanie Tarver, and Marshal Guidry.</w:t>
      </w:r>
    </w:p>
    <w:p w14:paraId="71E7EA5C" w14:textId="6F907F83" w:rsidR="00D53C16" w:rsidRDefault="00AE3D53" w:rsidP="00C13B6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Remove disciplinary requirements for SLOs. Remove SLOs that are not working. Discuss which SLOs we definitely need to keep.</w:t>
      </w:r>
    </w:p>
    <w:p w14:paraId="1578BC54" w14:textId="227DA5CE" w:rsidR="00AE3D53" w:rsidRDefault="00AE3D53" w:rsidP="00C13B6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Cutting low-enrollment courses from core.</w:t>
      </w:r>
      <w:proofErr w:type="gramEnd"/>
      <w:r>
        <w:rPr>
          <w:sz w:val="20"/>
          <w:szCs w:val="20"/>
        </w:rPr>
        <w:t xml:space="preserve"> Jessica will share feedback from departments regarding these courses with the Task Force.</w:t>
      </w:r>
    </w:p>
    <w:p w14:paraId="494E92E6" w14:textId="6A08C434" w:rsidR="00AE3D53" w:rsidRDefault="00AE3D53" w:rsidP="00AE3D5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When redesigning courses, institute a rule that a free LOUIS textbook be used.</w:t>
      </w:r>
      <w:proofErr w:type="gramEnd"/>
    </w:p>
    <w:p w14:paraId="6D5BEF21" w14:textId="7909DB8B" w:rsidR="00AE3D53" w:rsidRDefault="00AE3D53" w:rsidP="00AE3D5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LOUIS Textbook Initiative (</w:t>
      </w:r>
      <w:hyperlink r:id="rId8" w:history="1">
        <w:r w:rsidR="003351B7" w:rsidRPr="0016545D">
          <w:rPr>
            <w:rStyle w:val="Hyperlink"/>
            <w:sz w:val="20"/>
            <w:szCs w:val="20"/>
          </w:rPr>
          <w:t>http://www.louislibraries.org/alearningla</w:t>
        </w:r>
      </w:hyperlink>
      <w:r w:rsidR="003351B7">
        <w:rPr>
          <w:sz w:val="20"/>
          <w:szCs w:val="20"/>
        </w:rPr>
        <w:t xml:space="preserve">) </w:t>
      </w:r>
    </w:p>
    <w:p w14:paraId="75D0AD25" w14:textId="4F974BE7" w:rsidR="00AE3D53" w:rsidRDefault="00AE3D53" w:rsidP="00AE3D5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Curriculum-driven acquisitions</w:t>
      </w:r>
    </w:p>
    <w:p w14:paraId="7A47C032" w14:textId="2A44FA2D" w:rsidR="00AE3D53" w:rsidRDefault="00AE3D53" w:rsidP="00AE3D5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Textbook lists</w:t>
      </w:r>
    </w:p>
    <w:p w14:paraId="333E52F6" w14:textId="4236581D" w:rsidR="00AE3D53" w:rsidRDefault="00AE3D53" w:rsidP="00AE3D5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Open educational resources</w:t>
      </w:r>
    </w:p>
    <w:p w14:paraId="39DF1EFC" w14:textId="23DD3135" w:rsidR="00AE3D53" w:rsidRDefault="00AE3D53" w:rsidP="00AE3D5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Technology support</w:t>
      </w:r>
    </w:p>
    <w:p w14:paraId="77B59039" w14:textId="72C7385A" w:rsidR="00AE3D53" w:rsidRDefault="00AE3D53" w:rsidP="00AE3D5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Descriptions of initiatives around the state</w:t>
      </w:r>
    </w:p>
    <w:p w14:paraId="3F59F78D" w14:textId="4FDFAA3D" w:rsidR="00447DB0" w:rsidRPr="00447DB0" w:rsidRDefault="001767A2" w:rsidP="00447DB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hyperlink r:id="rId9" w:history="1">
        <w:r w:rsidR="00447DB0" w:rsidRPr="0016545D">
          <w:rPr>
            <w:rStyle w:val="Hyperlink"/>
            <w:sz w:val="20"/>
            <w:szCs w:val="20"/>
          </w:rPr>
          <w:t>Http://vile.credoreference.com/Louis/affordable-learning-LOUISiana-video</w:t>
        </w:r>
      </w:hyperlink>
      <w:r w:rsidR="00447DB0">
        <w:rPr>
          <w:sz w:val="20"/>
          <w:szCs w:val="20"/>
        </w:rPr>
        <w:t xml:space="preserve"> </w:t>
      </w:r>
    </w:p>
    <w:p w14:paraId="57D8F930" w14:textId="2CAD18C5" w:rsidR="003351B7" w:rsidRDefault="003351B7" w:rsidP="003351B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Next steps:</w:t>
      </w:r>
    </w:p>
    <w:p w14:paraId="079C1A7B" w14:textId="3B3B7843" w:rsidR="003351B7" w:rsidRPr="00C13B65" w:rsidRDefault="003351B7" w:rsidP="003351B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Distribute survey</w:t>
      </w:r>
    </w:p>
    <w:p w14:paraId="2919E985" w14:textId="77777777" w:rsidR="009036B4" w:rsidRDefault="009036B4" w:rsidP="009036B4">
      <w:pPr>
        <w:spacing w:after="0" w:line="240" w:lineRule="auto"/>
        <w:rPr>
          <w:sz w:val="20"/>
          <w:szCs w:val="20"/>
        </w:rPr>
      </w:pPr>
    </w:p>
    <w:p w14:paraId="62206B95" w14:textId="2A1EED15" w:rsidR="009036B4" w:rsidRPr="009036B4" w:rsidRDefault="009036B4" w:rsidP="00903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 meeting will be Thursday, </w:t>
      </w:r>
      <w:r w:rsidR="00C85CAE">
        <w:rPr>
          <w:sz w:val="20"/>
          <w:szCs w:val="20"/>
        </w:rPr>
        <w:t>November 8</w:t>
      </w:r>
      <w:r w:rsidR="001767A2">
        <w:rPr>
          <w:sz w:val="20"/>
          <w:szCs w:val="20"/>
        </w:rPr>
        <w:t>, at 1:0</w:t>
      </w:r>
      <w:r>
        <w:rPr>
          <w:sz w:val="20"/>
          <w:szCs w:val="20"/>
        </w:rPr>
        <w:t>0 PM in the President’s Conference Room.</w:t>
      </w:r>
    </w:p>
    <w:sectPr w:rsidR="009036B4" w:rsidRPr="0090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61E3"/>
    <w:multiLevelType w:val="hybridMultilevel"/>
    <w:tmpl w:val="2BA2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4A"/>
    <w:rsid w:val="0001214A"/>
    <w:rsid w:val="00044E4A"/>
    <w:rsid w:val="000C139E"/>
    <w:rsid w:val="000D4F8B"/>
    <w:rsid w:val="001767A2"/>
    <w:rsid w:val="001A7867"/>
    <w:rsid w:val="001E7606"/>
    <w:rsid w:val="002417DB"/>
    <w:rsid w:val="002814F4"/>
    <w:rsid w:val="00307A6A"/>
    <w:rsid w:val="003351B7"/>
    <w:rsid w:val="00352D1D"/>
    <w:rsid w:val="00420122"/>
    <w:rsid w:val="0043705D"/>
    <w:rsid w:val="00447DB0"/>
    <w:rsid w:val="004B4BBB"/>
    <w:rsid w:val="004D4023"/>
    <w:rsid w:val="004F168B"/>
    <w:rsid w:val="005248F6"/>
    <w:rsid w:val="0053448D"/>
    <w:rsid w:val="00556A5E"/>
    <w:rsid w:val="006C07F4"/>
    <w:rsid w:val="006C77E9"/>
    <w:rsid w:val="006F0125"/>
    <w:rsid w:val="00722A21"/>
    <w:rsid w:val="00723CD3"/>
    <w:rsid w:val="00792FA3"/>
    <w:rsid w:val="007A276E"/>
    <w:rsid w:val="00823E1B"/>
    <w:rsid w:val="008D2115"/>
    <w:rsid w:val="008D5174"/>
    <w:rsid w:val="008F4ED1"/>
    <w:rsid w:val="009036B4"/>
    <w:rsid w:val="009F7496"/>
    <w:rsid w:val="00A946F1"/>
    <w:rsid w:val="00AC092C"/>
    <w:rsid w:val="00AE3D53"/>
    <w:rsid w:val="00B66134"/>
    <w:rsid w:val="00B87AB4"/>
    <w:rsid w:val="00BE2319"/>
    <w:rsid w:val="00C13B65"/>
    <w:rsid w:val="00C2196B"/>
    <w:rsid w:val="00C85CAE"/>
    <w:rsid w:val="00CC041E"/>
    <w:rsid w:val="00CF25AD"/>
    <w:rsid w:val="00D53C16"/>
    <w:rsid w:val="00D62D7C"/>
    <w:rsid w:val="00D9673E"/>
    <w:rsid w:val="00DB28E0"/>
    <w:rsid w:val="00E02F09"/>
    <w:rsid w:val="00EE684A"/>
    <w:rsid w:val="00EF08CD"/>
    <w:rsid w:val="00F535B8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islibraries.org/alearningl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ile.credoreference.com/Louis/affordable-learning-LOUISiana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066f2e1c338567be328fce84d742db4c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977a65c2465b03970774fa8553abe4a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B129C-7346-448B-B68E-A598E6D4EFF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03f5ce-5cd7-4996-8fa5-03dbb03daaa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John Wesley LeJeune</cp:lastModifiedBy>
  <cp:revision>41</cp:revision>
  <dcterms:created xsi:type="dcterms:W3CDTF">2018-10-04T18:34:00Z</dcterms:created>
  <dcterms:modified xsi:type="dcterms:W3CDTF">2018-10-05T13:31:00Z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