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8B" w:rsidRPr="000A4655" w:rsidRDefault="008C3D8B" w:rsidP="008C3D8B">
      <w:pPr>
        <w:pStyle w:val="Title"/>
        <w:rPr>
          <w:rFonts w:ascii="Arial" w:hAnsi="Arial" w:cs="Arial"/>
          <w:sz w:val="16"/>
          <w:szCs w:val="16"/>
        </w:rPr>
      </w:pPr>
      <w:r w:rsidRPr="000A4655">
        <w:rPr>
          <w:rFonts w:ascii="Arial" w:hAnsi="Arial" w:cs="Arial"/>
          <w:bCs w:val="0"/>
          <w:sz w:val="16"/>
          <w:szCs w:val="16"/>
        </w:rPr>
        <w:t>McNeese</w:t>
      </w:r>
      <w:r w:rsidRPr="000A4655">
        <w:rPr>
          <w:rFonts w:ascii="Arial" w:hAnsi="Arial" w:cs="Arial"/>
          <w:sz w:val="16"/>
          <w:szCs w:val="16"/>
        </w:rPr>
        <w:t xml:space="preserve"> State University</w:t>
      </w:r>
    </w:p>
    <w:p w:rsidR="008C3D8B" w:rsidRPr="008C3D8B" w:rsidRDefault="008C3D8B" w:rsidP="008C3D8B">
      <w:pPr>
        <w:pStyle w:val="Heading1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Lesson Plan Template Aligned with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InTASC</w:t>
      </w:r>
      <w:proofErr w:type="spellEnd"/>
    </w:p>
    <w:tbl>
      <w:tblPr>
        <w:tblpPr w:leftFromText="180" w:rightFromText="180" w:vertAnchor="text" w:horzAnchor="margin" w:tblpY="216"/>
        <w:tblW w:w="1464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9"/>
        <w:gridCol w:w="2879"/>
        <w:gridCol w:w="2880"/>
        <w:gridCol w:w="14"/>
        <w:gridCol w:w="2858"/>
        <w:gridCol w:w="36"/>
        <w:gridCol w:w="2894"/>
      </w:tblGrid>
      <w:tr w:rsidR="004834AB" w:rsidTr="004834AB">
        <w:trPr>
          <w:trHeight w:val="520"/>
        </w:trPr>
        <w:tc>
          <w:tcPr>
            <w:tcW w:w="3079" w:type="dxa"/>
            <w:gridSpan w:val="2"/>
          </w:tcPr>
          <w:p w:rsidR="004834AB" w:rsidRDefault="004834AB" w:rsidP="003770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Candidate Name (last, first):</w:t>
            </w:r>
          </w:p>
        </w:tc>
        <w:tc>
          <w:tcPr>
            <w:tcW w:w="2879" w:type="dxa"/>
          </w:tcPr>
          <w:p w:rsidR="004834AB" w:rsidRDefault="004834AB" w:rsidP="003770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Semester:</w:t>
            </w:r>
          </w:p>
        </w:tc>
        <w:tc>
          <w:tcPr>
            <w:tcW w:w="2880" w:type="dxa"/>
          </w:tcPr>
          <w:p w:rsidR="004834AB" w:rsidRDefault="004834AB" w:rsidP="003770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Program: BS         MAT       PBC</w:t>
            </w:r>
          </w:p>
        </w:tc>
        <w:tc>
          <w:tcPr>
            <w:tcW w:w="2872" w:type="dxa"/>
            <w:gridSpan w:val="2"/>
          </w:tcPr>
          <w:p w:rsidR="004834AB" w:rsidRDefault="004834AB" w:rsidP="003770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Content Area:</w:t>
            </w:r>
            <w:bookmarkStart w:id="0" w:name="_GoBack"/>
            <w:bookmarkEnd w:id="0"/>
          </w:p>
        </w:tc>
        <w:tc>
          <w:tcPr>
            <w:tcW w:w="2930" w:type="dxa"/>
            <w:gridSpan w:val="2"/>
          </w:tcPr>
          <w:p w:rsidR="004834AB" w:rsidRDefault="004834AB" w:rsidP="003770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Instructor:</w:t>
            </w:r>
          </w:p>
        </w:tc>
      </w:tr>
      <w:tr w:rsidR="00634F67" w:rsidTr="004834AB">
        <w:trPr>
          <w:trHeight w:val="300"/>
        </w:trPr>
        <w:tc>
          <w:tcPr>
            <w:tcW w:w="3060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</w:p>
        </w:tc>
        <w:tc>
          <w:tcPr>
            <w:tcW w:w="2898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rPr>
                <w:b/>
                <w:i/>
              </w:rPr>
              <w:t>Ineffective:  (1)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rPr>
                <w:b/>
                <w:i/>
              </w:rPr>
              <w:t>Effective: Emerging (2)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rPr>
                <w:b/>
                <w:i/>
              </w:rPr>
              <w:t>Effective: Proficient (3)</w:t>
            </w:r>
          </w:p>
        </w:tc>
        <w:tc>
          <w:tcPr>
            <w:tcW w:w="2894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rPr>
                <w:b/>
                <w:i/>
              </w:rPr>
              <w:t>Highly Effective:  (4)</w:t>
            </w:r>
          </w:p>
        </w:tc>
      </w:tr>
      <w:tr w:rsidR="00634F67" w:rsidTr="004834AB">
        <w:trPr>
          <w:trHeight w:val="720"/>
        </w:trPr>
        <w:tc>
          <w:tcPr>
            <w:tcW w:w="3060" w:type="dxa"/>
          </w:tcPr>
          <w:p w:rsidR="00634F67" w:rsidRDefault="00634F67" w:rsidP="00A74FB5">
            <w:pPr>
              <w:pStyle w:val="NoSpacing"/>
            </w:pPr>
            <w:r>
              <w:t>Student Outcomes</w:t>
            </w:r>
          </w:p>
          <w:p w:rsidR="00634F67" w:rsidRDefault="00634F67" w:rsidP="00A74FB5">
            <w:pPr>
              <w:pStyle w:val="NoSpacing"/>
            </w:pPr>
            <w:r>
              <w:t>Measureable statement that identifies what the student is expected to learn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4n</w:t>
            </w:r>
          </w:p>
        </w:tc>
        <w:tc>
          <w:tcPr>
            <w:tcW w:w="2898" w:type="dxa"/>
            <w:gridSpan w:val="2"/>
          </w:tcPr>
          <w:p w:rsidR="00634F67" w:rsidRDefault="00634F67" w:rsidP="00A74FB5">
            <w:pPr>
              <w:pStyle w:val="NoSpacing"/>
            </w:pPr>
            <w:r>
              <w:t>Lesson outcome(s) lack clarity &amp;/or measurability; connection to standard not apparent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Lesson outcome(s) somewhat clear &amp; measurable; partial connection to the standard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Lesson outcome(s) are clear, measurable, and specific to the included standard</w:t>
            </w:r>
          </w:p>
        </w:tc>
        <w:tc>
          <w:tcPr>
            <w:tcW w:w="2894" w:type="dxa"/>
          </w:tcPr>
          <w:p w:rsidR="00634F67" w:rsidRDefault="00634F67" w:rsidP="00A74FB5">
            <w:pPr>
              <w:pStyle w:val="NoSpacing"/>
            </w:pPr>
            <w:r>
              <w:t>Lesson outcomes are clear &amp; measurable; learning progression is evident</w:t>
            </w:r>
          </w:p>
        </w:tc>
      </w:tr>
      <w:tr w:rsidR="00634F67" w:rsidTr="004834AB">
        <w:trPr>
          <w:trHeight w:val="900"/>
        </w:trPr>
        <w:tc>
          <w:tcPr>
            <w:tcW w:w="3060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Procedures</w:t>
            </w:r>
          </w:p>
          <w:p w:rsidR="00634F67" w:rsidRDefault="00634F67" w:rsidP="00A74FB5">
            <w:pPr>
              <w:pStyle w:val="NoSpacing"/>
            </w:pPr>
            <w:r>
              <w:t>Describes the specific tasks needed to accomplish the lesson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3k</w:t>
            </w:r>
          </w:p>
        </w:tc>
        <w:tc>
          <w:tcPr>
            <w:tcW w:w="2898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Provides no guidance to expected lesson tasks.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Provides little guidance of expected lesson tasks.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Provides some outline and guidance of lesson tasks.</w:t>
            </w:r>
          </w:p>
        </w:tc>
        <w:tc>
          <w:tcPr>
            <w:tcW w:w="2894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Thoroughly and completely describes how to implement all tasks needed to accomplish the lesson.</w:t>
            </w:r>
          </w:p>
        </w:tc>
      </w:tr>
      <w:tr w:rsidR="00634F67" w:rsidTr="004834AB">
        <w:trPr>
          <w:trHeight w:val="900"/>
        </w:trPr>
        <w:tc>
          <w:tcPr>
            <w:tcW w:w="3060" w:type="dxa"/>
          </w:tcPr>
          <w:p w:rsidR="00634F67" w:rsidRDefault="00634F67" w:rsidP="00A74FB5">
            <w:pPr>
              <w:pStyle w:val="NoSpacing"/>
            </w:pPr>
            <w:r>
              <w:t>Lesson “Hook”</w:t>
            </w:r>
          </w:p>
          <w:p w:rsidR="00634F67" w:rsidRDefault="00634F67" w:rsidP="00634F67">
            <w:pPr>
              <w:pStyle w:val="NoSpacing"/>
            </w:pPr>
            <w:r>
              <w:t>Lesson introduction that gains the students’ attention and promotes higher order thinking.</w:t>
            </w:r>
          </w:p>
          <w:p w:rsidR="00634F67" w:rsidRPr="00634F67" w:rsidRDefault="00634F67" w:rsidP="00634F67">
            <w:pPr>
              <w:pStyle w:val="NoSpacing"/>
              <w:rPr>
                <w:i/>
              </w:rPr>
            </w:pPr>
            <w:proofErr w:type="spellStart"/>
            <w:r>
              <w:t>InTASC</w:t>
            </w:r>
            <w:proofErr w:type="spellEnd"/>
            <w:r>
              <w:t xml:space="preserve"> 8j</w:t>
            </w:r>
          </w:p>
        </w:tc>
        <w:tc>
          <w:tcPr>
            <w:tcW w:w="2898" w:type="dxa"/>
            <w:gridSpan w:val="2"/>
          </w:tcPr>
          <w:p w:rsidR="00634F67" w:rsidRDefault="00634F67" w:rsidP="00A74FB5">
            <w:pPr>
              <w:pStyle w:val="NoSpacing"/>
            </w:pPr>
            <w:r>
              <w:t>Lesson introduction is not included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Describes how the lesson will be introduced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Introduces the lesson by sharing the purpose, relevance, and eliciting schema in student friendly language</w:t>
            </w:r>
          </w:p>
        </w:tc>
        <w:tc>
          <w:tcPr>
            <w:tcW w:w="2894" w:type="dxa"/>
          </w:tcPr>
          <w:p w:rsidR="00634F67" w:rsidRDefault="00634F67" w:rsidP="00A74FB5">
            <w:pPr>
              <w:pStyle w:val="NoSpacing"/>
            </w:pPr>
            <w:r>
              <w:rPr>
                <w:sz w:val="20"/>
                <w:szCs w:val="20"/>
              </w:rPr>
              <w:t>Introduces the lesson by sharing the purpose, relevance, and eliciting schema in student-friendly language while exhibiting creativity, motivation, and piquing the students' interest</w:t>
            </w:r>
          </w:p>
        </w:tc>
      </w:tr>
      <w:tr w:rsidR="00634F67" w:rsidTr="004834AB">
        <w:trPr>
          <w:trHeight w:val="620"/>
        </w:trPr>
        <w:tc>
          <w:tcPr>
            <w:tcW w:w="3060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Pre-planned (SEED) Questions</w:t>
            </w:r>
          </w:p>
          <w:p w:rsidR="00634F67" w:rsidRDefault="00634F67" w:rsidP="00A74FB5">
            <w:pPr>
              <w:pStyle w:val="NoSpacing"/>
            </w:pPr>
            <w:r>
              <w:t xml:space="preserve">Higher-order thinking </w:t>
            </w:r>
          </w:p>
          <w:p w:rsidR="00634F67" w:rsidRDefault="00634F67" w:rsidP="00A74FB5">
            <w:pPr>
              <w:pStyle w:val="NoSpacing"/>
            </w:pPr>
            <w:r>
              <w:t>questions that provoke student engagement regarding the content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8i</w:t>
            </w:r>
          </w:p>
        </w:tc>
        <w:tc>
          <w:tcPr>
            <w:tcW w:w="2898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Questions are not included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Includes low-level questions focused largely on regurgitation of facts or rote use of formulas / procedures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Includes open and closed questions related to the content</w:t>
            </w:r>
          </w:p>
        </w:tc>
        <w:tc>
          <w:tcPr>
            <w:tcW w:w="2894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Includes high-level questions to foster  student engagement and support understanding of the content/skills</w:t>
            </w:r>
          </w:p>
        </w:tc>
      </w:tr>
      <w:tr w:rsidR="00634F67" w:rsidTr="004834AB">
        <w:trPr>
          <w:trHeight w:val="2100"/>
        </w:trPr>
        <w:tc>
          <w:tcPr>
            <w:tcW w:w="3060" w:type="dxa"/>
          </w:tcPr>
          <w:p w:rsidR="00634F67" w:rsidRDefault="00634F67" w:rsidP="00A74FB5">
            <w:pPr>
              <w:pStyle w:val="NoSpacing"/>
            </w:pPr>
            <w:r>
              <w:t>Modeled, Guided, Collaborative and Independent Practice</w:t>
            </w:r>
          </w:p>
          <w:p w:rsidR="00634F67" w:rsidRDefault="00634F67" w:rsidP="00A74FB5">
            <w:pPr>
              <w:pStyle w:val="NoSpacing"/>
            </w:pPr>
            <w:r>
              <w:t>A variety of teaching methods are implemented throughout the lesson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7k</w:t>
            </w:r>
          </w:p>
        </w:tc>
        <w:tc>
          <w:tcPr>
            <w:tcW w:w="2898" w:type="dxa"/>
            <w:gridSpan w:val="2"/>
          </w:tcPr>
          <w:p w:rsidR="00634F67" w:rsidRDefault="00634F67" w:rsidP="00A74FB5">
            <w:pPr>
              <w:pStyle w:val="NoSpacing"/>
            </w:pPr>
            <w:r>
              <w:t>Lesson plan has no match between procedures and outcome(s); no modeling; no evidence for guided or independent practice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Lesson plan has limited match between procedures and outcome(s); limited teacher modeling or examples provided; few opportunities for guided and independent practice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Lesson plan has clear alignment between procedures and outcome(s); adequate teacher modeling or examples provided; some opportunities for guided and independent practice</w:t>
            </w:r>
          </w:p>
        </w:tc>
        <w:tc>
          <w:tcPr>
            <w:tcW w:w="2894" w:type="dxa"/>
          </w:tcPr>
          <w:p w:rsidR="00634F67" w:rsidRDefault="00634F67" w:rsidP="00A74FB5">
            <w:pPr>
              <w:pStyle w:val="NoSpacing"/>
            </w:pPr>
            <w:r>
              <w:t>Lesson plan has explicit alignment between procedures and outcome(s); multiple teacher modeling or examples along with opportunities for guided and independent practice</w:t>
            </w:r>
          </w:p>
        </w:tc>
      </w:tr>
      <w:tr w:rsidR="00634F67" w:rsidTr="004834AB">
        <w:trPr>
          <w:trHeight w:val="1420"/>
        </w:trPr>
        <w:tc>
          <w:tcPr>
            <w:tcW w:w="3060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lastRenderedPageBreak/>
              <w:t>Technology</w:t>
            </w:r>
          </w:p>
          <w:p w:rsidR="00634F67" w:rsidRDefault="00634F67" w:rsidP="00A74FB5">
            <w:pPr>
              <w:pStyle w:val="NoSpacing"/>
              <w:rPr>
                <w:b/>
              </w:rPr>
            </w:pPr>
            <w:r>
              <w:t>Incorporates the use of technology by candidates and/or P-12 students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5l</w:t>
            </w:r>
          </w:p>
        </w:tc>
        <w:tc>
          <w:tcPr>
            <w:tcW w:w="2898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Use of technology is not related to content standard and student outcomes.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Identifies the use of technology by the teacher.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Identifies and relates the use of technology by the teacher to the content standard and student outcomes.</w:t>
            </w:r>
          </w:p>
        </w:tc>
        <w:tc>
          <w:tcPr>
            <w:tcW w:w="2894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Identifies and relates the use of technology by the teacher and student to the content standard and student outcomes.</w:t>
            </w:r>
          </w:p>
        </w:tc>
      </w:tr>
      <w:tr w:rsidR="00634F67" w:rsidTr="004834AB">
        <w:trPr>
          <w:trHeight w:val="2100"/>
        </w:trPr>
        <w:tc>
          <w:tcPr>
            <w:tcW w:w="3060" w:type="dxa"/>
          </w:tcPr>
          <w:p w:rsidR="00634F67" w:rsidRDefault="00634F67" w:rsidP="00A74FB5">
            <w:pPr>
              <w:pStyle w:val="NoSpacing"/>
            </w:pPr>
            <w:r>
              <w:t>Formative/ Summative</w:t>
            </w:r>
          </w:p>
          <w:p w:rsidR="00634F67" w:rsidRDefault="00634F67" w:rsidP="00A74FB5">
            <w:pPr>
              <w:pStyle w:val="NoSpacing"/>
            </w:pPr>
            <w:r>
              <w:t>Assessment</w:t>
            </w:r>
          </w:p>
          <w:p w:rsidR="00634F67" w:rsidRDefault="00634F67" w:rsidP="00A74FB5">
            <w:pPr>
              <w:pStyle w:val="NoSpacing"/>
            </w:pPr>
            <w:r>
              <w:t>Assessment implemented to measure student abilities/knowledge from the lesson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6j</w:t>
            </w:r>
          </w:p>
        </w:tc>
        <w:tc>
          <w:tcPr>
            <w:tcW w:w="2898" w:type="dxa"/>
            <w:gridSpan w:val="2"/>
          </w:tcPr>
          <w:p w:rsidR="00634F67" w:rsidRDefault="00634F67" w:rsidP="00A74FB5">
            <w:pPr>
              <w:pStyle w:val="NoSpacing"/>
            </w:pPr>
            <w:r>
              <w:t>The assessment does not measure outcome(s)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Assessment provided for the lesson but inadequately measures the outcomes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Formative and/or summative assessment has clear relationship to the outcome</w:t>
            </w:r>
          </w:p>
        </w:tc>
        <w:tc>
          <w:tcPr>
            <w:tcW w:w="2894" w:type="dxa"/>
          </w:tcPr>
          <w:p w:rsidR="00634F67" w:rsidRDefault="00634F67" w:rsidP="00A74FB5">
            <w:pPr>
              <w:pStyle w:val="NoSpacing"/>
            </w:pPr>
            <w:r>
              <w:t>Formative and summative assessments are clearly aligned to the outcomes and reflect the procedures in the lesson plan</w:t>
            </w:r>
          </w:p>
        </w:tc>
      </w:tr>
      <w:tr w:rsidR="00634F67" w:rsidTr="004834AB">
        <w:trPr>
          <w:trHeight w:val="2100"/>
        </w:trPr>
        <w:tc>
          <w:tcPr>
            <w:tcW w:w="3060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Relevance and Rationale</w:t>
            </w:r>
          </w:p>
          <w:p w:rsidR="00634F67" w:rsidRDefault="00634F67" w:rsidP="00A74FB5">
            <w:pPr>
              <w:pStyle w:val="NoSpacing"/>
            </w:pPr>
            <w:r>
              <w:t>Outcome and content of lesson should be relevant to students’ ongoing learning, real-world application, and student backgrounds.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2j</w:t>
            </w:r>
          </w:p>
        </w:tc>
        <w:tc>
          <w:tcPr>
            <w:tcW w:w="2898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Rational given does not link lesson outcomes or tasks to students’ ongoing learning, real-world application, or student backgrounds.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Broad rationale as to purpose of the outcome and tasks listed within the lesson are linked to student backgrounds, ongoing learning, and/or real-world application.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Some rationale as to purpose of the outcome and tasks listed within the lesson are linked to student backgrounds, ongoing learning, and/or real-world application.</w:t>
            </w:r>
          </w:p>
        </w:tc>
        <w:tc>
          <w:tcPr>
            <w:tcW w:w="2894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Explicit rationale as to purpose of the outcome and tasks listed within the lesson are linked to student backgrounds, ongoing learning, and/or real-world application.</w:t>
            </w:r>
          </w:p>
        </w:tc>
      </w:tr>
      <w:tr w:rsidR="00634F67" w:rsidTr="004834AB">
        <w:trPr>
          <w:trHeight w:val="2100"/>
        </w:trPr>
        <w:tc>
          <w:tcPr>
            <w:tcW w:w="3060" w:type="dxa"/>
          </w:tcPr>
          <w:p w:rsidR="00634F67" w:rsidRDefault="00634F67" w:rsidP="00A74FB5">
            <w:pPr>
              <w:pStyle w:val="NoSpacing"/>
            </w:pPr>
            <w:r>
              <w:t>Exploration, Extension, and Supplemental</w:t>
            </w:r>
          </w:p>
          <w:p w:rsidR="00634F67" w:rsidRDefault="00634F67" w:rsidP="00A74FB5">
            <w:pPr>
              <w:pStyle w:val="NoSpacing"/>
            </w:pPr>
            <w:r>
              <w:t>Lesson has appropriate tasks for exploration, extension, and supplemental learning listed.</w:t>
            </w:r>
          </w:p>
          <w:p w:rsidR="00634F67" w:rsidRDefault="00634F67" w:rsidP="00634F67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1e</w:t>
            </w:r>
          </w:p>
        </w:tc>
        <w:tc>
          <w:tcPr>
            <w:tcW w:w="2898" w:type="dxa"/>
            <w:gridSpan w:val="2"/>
          </w:tcPr>
          <w:p w:rsidR="00634F67" w:rsidRDefault="00634F67" w:rsidP="00A74FB5">
            <w:pPr>
              <w:pStyle w:val="NoSpacing"/>
            </w:pPr>
            <w:r>
              <w:t>There are no plans for re-teaching and / or expanding content related to identified outcomes; no evidence of planned activities for early finishers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Plans for re-teaching and/or expanding upon content loosely relate to identified outcomes; limited choice of activities for early finishers</w:t>
            </w:r>
          </w:p>
        </w:tc>
        <w:tc>
          <w:tcPr>
            <w:tcW w:w="2894" w:type="dxa"/>
            <w:gridSpan w:val="2"/>
          </w:tcPr>
          <w:p w:rsidR="00634F67" w:rsidRDefault="00634F67" w:rsidP="00A74FB5">
            <w:pPr>
              <w:pStyle w:val="NoSpacing"/>
            </w:pPr>
            <w:r>
              <w:t>Plans for re-teaching and/or expanding upon content clearly relate to identified outcomes; some choice of activities for early finishers</w:t>
            </w:r>
          </w:p>
        </w:tc>
        <w:tc>
          <w:tcPr>
            <w:tcW w:w="2894" w:type="dxa"/>
          </w:tcPr>
          <w:p w:rsidR="00634F67" w:rsidRDefault="00634F67" w:rsidP="00A74FB5">
            <w:pPr>
              <w:pStyle w:val="NoSpacing"/>
            </w:pPr>
            <w:r>
              <w:t xml:space="preserve">Plans for re-teaching and/or expanding upon content highlight student interest and needs in meeting outcomes; early finishers have extensive choice in how they expand upon content </w:t>
            </w:r>
          </w:p>
        </w:tc>
      </w:tr>
      <w:tr w:rsidR="00634F67" w:rsidTr="004834AB">
        <w:trPr>
          <w:trHeight w:val="680"/>
        </w:trPr>
        <w:tc>
          <w:tcPr>
            <w:tcW w:w="3060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Accommodation/</w:t>
            </w:r>
          </w:p>
          <w:p w:rsidR="00634F67" w:rsidRDefault="00634F67" w:rsidP="00A74FB5">
            <w:pPr>
              <w:pStyle w:val="NoSpacing"/>
            </w:pPr>
            <w:r>
              <w:t>Differentiation</w:t>
            </w:r>
          </w:p>
          <w:p w:rsidR="00634F67" w:rsidRDefault="00634F67" w:rsidP="00A74FB5">
            <w:pPr>
              <w:pStyle w:val="NoSpacing"/>
            </w:pPr>
            <w:r>
              <w:t xml:space="preserve">Provides a variety of instruction to ensure all student needs are met </w:t>
            </w:r>
          </w:p>
          <w:p w:rsidR="00634F67" w:rsidRDefault="00634F67" w:rsidP="00A74FB5">
            <w:pPr>
              <w:pStyle w:val="NoSpacing"/>
            </w:pPr>
            <w:proofErr w:type="spellStart"/>
            <w:r>
              <w:rPr>
                <w:i/>
              </w:rPr>
              <w:t>InTASC</w:t>
            </w:r>
            <w:proofErr w:type="spellEnd"/>
            <w:r>
              <w:rPr>
                <w:i/>
              </w:rPr>
              <w:t xml:space="preserve"> 7j</w:t>
            </w:r>
          </w:p>
        </w:tc>
        <w:tc>
          <w:tcPr>
            <w:tcW w:w="2898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Superficial or little attempt to differentiate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General activities that differentiate the content, process, product, or learning environment</w:t>
            </w:r>
          </w:p>
        </w:tc>
        <w:tc>
          <w:tcPr>
            <w:tcW w:w="2894" w:type="dxa"/>
            <w:gridSpan w:val="2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Specific activities that differentiate the content, process, product, or learning environment</w:t>
            </w:r>
          </w:p>
        </w:tc>
        <w:tc>
          <w:tcPr>
            <w:tcW w:w="2894" w:type="dxa"/>
            <w:shd w:val="clear" w:color="auto" w:fill="DBE5F1" w:themeFill="accent1" w:themeFillTint="33"/>
          </w:tcPr>
          <w:p w:rsidR="00634F67" w:rsidRDefault="00634F67" w:rsidP="00A74FB5">
            <w:pPr>
              <w:pStyle w:val="NoSpacing"/>
            </w:pPr>
            <w:r>
              <w:t>Specific activities that differentiate the content, process, product, and/or learning environment using best practices</w:t>
            </w:r>
          </w:p>
        </w:tc>
      </w:tr>
    </w:tbl>
    <w:p w:rsidR="001E034E" w:rsidRDefault="001E034E"/>
    <w:sectPr w:rsidR="001E034E" w:rsidSect="00634F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67"/>
    <w:rsid w:val="001E034E"/>
    <w:rsid w:val="004834AB"/>
    <w:rsid w:val="00634F67"/>
    <w:rsid w:val="00894D21"/>
    <w:rsid w:val="008C3D8B"/>
    <w:rsid w:val="00C2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F67"/>
    <w:rPr>
      <w:rFonts w:ascii="Cambria" w:eastAsia="Cambria" w:hAnsi="Cambria" w:cs="Cambria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3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F67"/>
    <w:pPr>
      <w:spacing w:after="0" w:line="240" w:lineRule="auto"/>
    </w:pPr>
    <w:rPr>
      <w:rFonts w:ascii="Cambria" w:eastAsia="Cambria" w:hAnsi="Cambria" w:cs="Cambria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8C3D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8C3D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8C3D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8C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F67"/>
    <w:rPr>
      <w:rFonts w:ascii="Cambria" w:eastAsia="Cambria" w:hAnsi="Cambria" w:cs="Cambria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3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F67"/>
    <w:pPr>
      <w:spacing w:after="0" w:line="240" w:lineRule="auto"/>
    </w:pPr>
    <w:rPr>
      <w:rFonts w:ascii="Cambria" w:eastAsia="Cambria" w:hAnsi="Cambria" w:cs="Cambria"/>
      <w:color w:val="000000"/>
    </w:rPr>
  </w:style>
  <w:style w:type="character" w:customStyle="1" w:styleId="Heading1Char">
    <w:name w:val="Heading 1 Char"/>
    <w:basedOn w:val="DefaultParagraphFont"/>
    <w:link w:val="Heading1"/>
    <w:uiPriority w:val="99"/>
    <w:rsid w:val="008C3D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8C3D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8C3D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8C3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342E-F581-4AC0-8B25-64A77A76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3</cp:revision>
  <dcterms:created xsi:type="dcterms:W3CDTF">2017-02-09T14:36:00Z</dcterms:created>
  <dcterms:modified xsi:type="dcterms:W3CDTF">2017-02-09T14:41:00Z</dcterms:modified>
</cp:coreProperties>
</file>