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9" w:type="dxa"/>
        <w:tblInd w:w="7" w:type="dxa"/>
        <w:tblLayout w:type="fixed"/>
        <w:tblCellMar>
          <w:left w:w="0" w:type="dxa"/>
          <w:right w:w="0" w:type="dxa"/>
        </w:tblCellMar>
        <w:tblLook w:val="01E0" w:firstRow="1" w:lastRow="1" w:firstColumn="1" w:lastColumn="1" w:noHBand="0" w:noVBand="0"/>
      </w:tblPr>
      <w:tblGrid>
        <w:gridCol w:w="5393"/>
        <w:gridCol w:w="5406"/>
      </w:tblGrid>
      <w:tr w:rsidR="00D33973" w:rsidRPr="00D33973" w14:paraId="435B243F" w14:textId="77777777" w:rsidTr="00D33973">
        <w:trPr>
          <w:trHeight w:val="1642"/>
        </w:trPr>
        <w:tc>
          <w:tcPr>
            <w:tcW w:w="5393" w:type="dxa"/>
            <w:tcBorders>
              <w:bottom w:val="single" w:sz="18" w:space="0" w:color="5A5A5A"/>
            </w:tcBorders>
            <w:vAlign w:val="center"/>
          </w:tcPr>
          <w:p w14:paraId="16E78B8C" w14:textId="77777777" w:rsidR="00D33973" w:rsidRPr="00D33973" w:rsidRDefault="00D33973" w:rsidP="00D33973">
            <w:pPr>
              <w:contextualSpacing/>
              <w:jc w:val="center"/>
            </w:pPr>
            <w:r w:rsidRPr="00D33973">
              <w:rPr>
                <w:noProof/>
              </w:rPr>
              <w:drawing>
                <wp:inline distT="0" distB="0" distL="0" distR="0" wp14:anchorId="157DD9A1" wp14:editId="79DFA625">
                  <wp:extent cx="2642347" cy="731520"/>
                  <wp:effectExtent l="0" t="0" r="0" b="0"/>
                  <wp:docPr id="2"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pic:nvPicPr>
                        <pic:blipFill>
                          <a:blip r:embed="rId7" cstate="print"/>
                          <a:stretch>
                            <a:fillRect/>
                          </a:stretch>
                        </pic:blipFill>
                        <pic:spPr>
                          <a:xfrm>
                            <a:off x="0" y="0"/>
                            <a:ext cx="2642347" cy="731520"/>
                          </a:xfrm>
                          <a:prstGeom prst="rect">
                            <a:avLst/>
                          </a:prstGeom>
                        </pic:spPr>
                      </pic:pic>
                    </a:graphicData>
                  </a:graphic>
                </wp:inline>
              </w:drawing>
            </w:r>
          </w:p>
        </w:tc>
        <w:tc>
          <w:tcPr>
            <w:tcW w:w="5406" w:type="dxa"/>
            <w:tcBorders>
              <w:bottom w:val="single" w:sz="18" w:space="0" w:color="5A5A5A"/>
            </w:tcBorders>
            <w:vAlign w:val="center"/>
          </w:tcPr>
          <w:p w14:paraId="4BE12F5C" w14:textId="77777777" w:rsidR="00D33973" w:rsidRPr="00D33973" w:rsidRDefault="00D33973" w:rsidP="00D33973">
            <w:pPr>
              <w:ind w:right="180"/>
              <w:contextualSpacing/>
              <w:jc w:val="right"/>
              <w:rPr>
                <w:b/>
              </w:rPr>
            </w:pPr>
            <w:r w:rsidRPr="00D33973">
              <w:rPr>
                <w:b/>
              </w:rPr>
              <w:t>Office of Human Resources and Student Employment</w:t>
            </w:r>
          </w:p>
          <w:p w14:paraId="18E2AA6D" w14:textId="77777777" w:rsidR="00D33973" w:rsidRPr="00D33973" w:rsidRDefault="00D33973" w:rsidP="00D33973">
            <w:pPr>
              <w:ind w:right="180"/>
              <w:contextualSpacing/>
              <w:jc w:val="right"/>
            </w:pPr>
            <w:r w:rsidRPr="00D33973">
              <w:t>Smith Hall Room Suite 109/Box 91615</w:t>
            </w:r>
          </w:p>
          <w:p w14:paraId="4AB0CE72" w14:textId="77777777" w:rsidR="00D33973" w:rsidRPr="00D33973" w:rsidRDefault="00D33973" w:rsidP="00D33973">
            <w:pPr>
              <w:ind w:right="180"/>
              <w:contextualSpacing/>
              <w:jc w:val="right"/>
            </w:pPr>
            <w:r w:rsidRPr="00D33973">
              <w:t>Lake Charles, LA 70609</w:t>
            </w:r>
          </w:p>
          <w:p w14:paraId="7BECC3C0" w14:textId="77777777" w:rsidR="00D33973" w:rsidRPr="00D33973" w:rsidRDefault="00D33973" w:rsidP="00D33973">
            <w:pPr>
              <w:ind w:right="180"/>
              <w:contextualSpacing/>
              <w:jc w:val="right"/>
            </w:pPr>
            <w:r w:rsidRPr="00D33973">
              <w:t>(337) 475-5102 / Fax: (337) 475-5104</w:t>
            </w:r>
          </w:p>
          <w:p w14:paraId="451EA2DF" w14:textId="77777777" w:rsidR="00D33973" w:rsidRPr="00D33973" w:rsidRDefault="00D33973" w:rsidP="00D33973">
            <w:pPr>
              <w:ind w:right="180"/>
              <w:contextualSpacing/>
              <w:jc w:val="right"/>
            </w:pPr>
            <w:hyperlink r:id="rId8">
              <w:r w:rsidRPr="00D33973">
                <w:rPr>
                  <w:rStyle w:val="Hyperlink"/>
                </w:rPr>
                <w:t>humanresources@mcneese.edu</w:t>
              </w:r>
            </w:hyperlink>
          </w:p>
        </w:tc>
      </w:tr>
    </w:tbl>
    <w:p w14:paraId="1A8A598F" w14:textId="4A278623" w:rsidR="00D33973" w:rsidRPr="00D33973" w:rsidRDefault="00D33973" w:rsidP="00D33973">
      <w:pPr>
        <w:spacing w:before="160"/>
        <w:jc w:val="center"/>
        <w:rPr>
          <w:b/>
          <w:bCs/>
          <w:sz w:val="24"/>
          <w:szCs w:val="24"/>
        </w:rPr>
      </w:pPr>
      <w:r w:rsidRPr="00D33973">
        <w:rPr>
          <w:b/>
          <w:bCs/>
          <w:noProof/>
          <w:sz w:val="24"/>
          <w:szCs w:val="24"/>
        </w:rPr>
        <mc:AlternateContent>
          <mc:Choice Requires="wps">
            <w:drawing>
              <wp:anchor distT="0" distB="0" distL="0" distR="0" simplePos="0" relativeHeight="251659264" behindDoc="0" locked="0" layoutInCell="1" allowOverlap="1" wp14:anchorId="2238D741" wp14:editId="79A6978D">
                <wp:simplePos x="0" y="0"/>
                <wp:positionH relativeFrom="page">
                  <wp:posOffset>457200</wp:posOffset>
                </wp:positionH>
                <wp:positionV relativeFrom="paragraph">
                  <wp:posOffset>452121</wp:posOffset>
                </wp:positionV>
                <wp:extent cx="6858000" cy="196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9685"/>
                        </a:xfrm>
                        <a:custGeom>
                          <a:avLst/>
                          <a:gdLst/>
                          <a:ahLst/>
                          <a:cxnLst/>
                          <a:rect l="l" t="t" r="r" b="b"/>
                          <a:pathLst>
                            <a:path w="6858000" h="19685">
                              <a:moveTo>
                                <a:pt x="6858000" y="0"/>
                              </a:moveTo>
                              <a:lnTo>
                                <a:pt x="0" y="0"/>
                              </a:lnTo>
                              <a:lnTo>
                                <a:pt x="0" y="19684"/>
                              </a:lnTo>
                              <a:lnTo>
                                <a:pt x="6858000" y="19684"/>
                              </a:lnTo>
                              <a:lnTo>
                                <a:pt x="6858000" y="0"/>
                              </a:lnTo>
                              <a:close/>
                            </a:path>
                          </a:pathLst>
                        </a:custGeom>
                        <a:solidFill>
                          <a:srgbClr val="5A5A5A"/>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3" style="position:absolute;margin-left:36pt;margin-top:35.6pt;width:540pt;height:1.5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858000,19685" o:spid="_x0000_s1026" fillcolor="#5a5a5a" stroked="f" path="m6858000,l,,,19684r6858000,l68580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" w14:anchorId="553D96BE">
                <v:path arrowok="t"/>
                <w10:wrap anchorx="page"/>
              </v:shape>
            </w:pict>
          </mc:Fallback>
        </mc:AlternateContent>
      </w:r>
      <w:r w:rsidR="00B42E50">
        <w:rPr>
          <w:b/>
          <w:bCs/>
          <w:noProof/>
          <w:sz w:val="24"/>
          <w:szCs w:val="24"/>
        </w:rPr>
        <w:t>FACULTY</w:t>
      </w:r>
      <w:r w:rsidRPr="00D33973">
        <w:rPr>
          <w:b/>
          <w:bCs/>
          <w:sz w:val="24"/>
          <w:szCs w:val="24"/>
        </w:rPr>
        <w:t xml:space="preserve"> JOB DESCRIPTION</w:t>
      </w:r>
    </w:p>
    <w:p w14:paraId="489A802A" w14:textId="77777777" w:rsidR="00D33973" w:rsidRPr="00D33973" w:rsidRDefault="00D33973" w:rsidP="00D33973">
      <w:pPr>
        <w:rPr>
          <w:b/>
          <w:iCs/>
        </w:rPr>
      </w:pPr>
    </w:p>
    <w:p w14:paraId="13959791" w14:textId="558EF5BC" w:rsidR="00000167" w:rsidRPr="00B42E50" w:rsidRDefault="00000167" w:rsidP="00000167">
      <w:pPr>
        <w:contextualSpacing/>
        <w:rPr>
          <w:b/>
          <w:bCs/>
          <w:iCs/>
        </w:rPr>
      </w:pPr>
      <w:proofErr w:type="gramStart"/>
      <w:r w:rsidRPr="00B42E50">
        <w:rPr>
          <w:b/>
          <w:iCs/>
        </w:rPr>
        <w:t xml:space="preserve">Department: </w:t>
      </w:r>
      <w:r w:rsidRPr="00000167">
        <w:rPr>
          <w:iCs/>
        </w:rPr>
        <w:t>«</w:t>
      </w:r>
      <w:proofErr w:type="gramEnd"/>
      <w:r>
        <w:rPr>
          <w:iCs/>
        </w:rPr>
        <w:t>DEPARTMENT</w:t>
      </w:r>
      <w:r w:rsidR="008906A5">
        <w:rPr>
          <w:iCs/>
        </w:rPr>
        <w:t>_NAME</w:t>
      </w:r>
      <w:r w:rsidRPr="00000167">
        <w:rPr>
          <w:iCs/>
        </w:rPr>
        <w:t>»</w:t>
      </w:r>
    </w:p>
    <w:p w14:paraId="672C185A" w14:textId="66194647" w:rsidR="00B42E50" w:rsidRPr="00B42E50" w:rsidRDefault="00B42E50" w:rsidP="00B42E50">
      <w:pPr>
        <w:contextualSpacing/>
        <w:rPr>
          <w:b/>
          <w:bCs/>
          <w:iCs/>
        </w:rPr>
      </w:pPr>
      <w:proofErr w:type="gramStart"/>
      <w:r>
        <w:rPr>
          <w:b/>
          <w:iCs/>
        </w:rPr>
        <w:t>Title</w:t>
      </w:r>
      <w:r w:rsidRPr="00B42E50">
        <w:rPr>
          <w:b/>
          <w:iCs/>
        </w:rPr>
        <w:t xml:space="preserve">: </w:t>
      </w:r>
      <w:r w:rsidR="00000167" w:rsidRPr="00000167">
        <w:rPr>
          <w:bCs/>
          <w:iCs/>
        </w:rPr>
        <w:t>«</w:t>
      </w:r>
      <w:proofErr w:type="gramEnd"/>
      <w:r w:rsidR="00000167" w:rsidRPr="00000167">
        <w:rPr>
          <w:bCs/>
          <w:iCs/>
        </w:rPr>
        <w:t>POSITION_TITLE»</w:t>
      </w:r>
    </w:p>
    <w:p w14:paraId="5C9EC73E" w14:textId="7DE82262" w:rsidR="00D33973" w:rsidRPr="002278C0" w:rsidRDefault="00B42E50" w:rsidP="73966AA4">
      <w:pPr>
        <w:contextualSpacing/>
      </w:pPr>
      <w:proofErr w:type="gramStart"/>
      <w:r w:rsidRPr="73966AA4">
        <w:rPr>
          <w:b/>
          <w:bCs/>
        </w:rPr>
        <w:t>Rank</w:t>
      </w:r>
      <w:r w:rsidR="00D33973" w:rsidRPr="73966AA4">
        <w:rPr>
          <w:b/>
          <w:bCs/>
        </w:rPr>
        <w:t xml:space="preserve">: </w:t>
      </w:r>
      <w:r w:rsidR="00000167">
        <w:t>«</w:t>
      </w:r>
      <w:proofErr w:type="gramEnd"/>
      <w:r w:rsidR="00000167">
        <w:t>RANK»</w:t>
      </w:r>
    </w:p>
    <w:p w14:paraId="1A3BEE0B" w14:textId="59B3CFE8" w:rsidR="52C2563B" w:rsidRDefault="52C2563B" w:rsidP="73966AA4">
      <w:pPr>
        <w:contextualSpacing/>
      </w:pPr>
      <w:proofErr w:type="gramStart"/>
      <w:r w:rsidRPr="00B305AB">
        <w:rPr>
          <w:b/>
          <w:bCs/>
        </w:rPr>
        <w:t>Status:</w:t>
      </w:r>
      <w:r>
        <w:t xml:space="preserve"> </w:t>
      </w:r>
      <w:r w:rsidR="002A03D1" w:rsidRPr="002A03D1">
        <w:t>«</w:t>
      </w:r>
      <w:proofErr w:type="gramEnd"/>
      <w:r w:rsidR="002A03D1" w:rsidRPr="002A03D1">
        <w:t>TENURE_STATUS (</w:t>
      </w:r>
      <w:r w:rsidR="002A03D1">
        <w:t>T</w:t>
      </w:r>
      <w:r w:rsidR="002A03D1" w:rsidRPr="002A03D1">
        <w:t>enure-track</w:t>
      </w:r>
      <w:r w:rsidR="002A03D1">
        <w:t>,</w:t>
      </w:r>
      <w:r w:rsidR="002A03D1" w:rsidRPr="002A03D1">
        <w:t xml:space="preserve"> </w:t>
      </w:r>
      <w:r w:rsidR="002A03D1">
        <w:t>N</w:t>
      </w:r>
      <w:r w:rsidR="002A03D1" w:rsidRPr="002A03D1">
        <w:t>on-tenure-track</w:t>
      </w:r>
      <w:r w:rsidR="002A03D1">
        <w:t xml:space="preserve">, or </w:t>
      </w:r>
      <w:proofErr w:type="gramStart"/>
      <w:r w:rsidR="002A03D1">
        <w:t>Temporary</w:t>
      </w:r>
      <w:r w:rsidR="002A03D1" w:rsidRPr="002A03D1">
        <w:t>)»</w:t>
      </w:r>
      <w:proofErr w:type="gramEnd"/>
    </w:p>
    <w:p w14:paraId="524E6E16" w14:textId="57389DE4" w:rsidR="00D33973" w:rsidRPr="002278C0" w:rsidRDefault="00D33973" w:rsidP="00D33973">
      <w:pPr>
        <w:contextualSpacing/>
        <w:rPr>
          <w:bCs/>
          <w:iCs/>
        </w:rPr>
      </w:pPr>
      <w:r w:rsidRPr="00D33973">
        <w:rPr>
          <w:b/>
          <w:iCs/>
        </w:rPr>
        <w:t xml:space="preserve">Position Number: </w:t>
      </w:r>
      <w:r w:rsidR="00B42E50">
        <w:rPr>
          <w:bCs/>
          <w:iCs/>
        </w:rPr>
        <w:t>F</w:t>
      </w:r>
      <w:r w:rsidR="002278C0">
        <w:rPr>
          <w:bCs/>
          <w:iCs/>
        </w:rPr>
        <w:t>XXXXX</w:t>
      </w:r>
    </w:p>
    <w:p w14:paraId="429D576D" w14:textId="05D25F74" w:rsidR="00D33973" w:rsidRPr="002278C0" w:rsidRDefault="00000167" w:rsidP="73966AA4">
      <w:pPr>
        <w:contextualSpacing/>
      </w:pPr>
      <w:r w:rsidRPr="73966AA4">
        <w:rPr>
          <w:b/>
          <w:bCs/>
        </w:rPr>
        <w:t xml:space="preserve">Appointment </w:t>
      </w:r>
      <w:proofErr w:type="gramStart"/>
      <w:r w:rsidRPr="73966AA4">
        <w:rPr>
          <w:b/>
          <w:bCs/>
        </w:rPr>
        <w:t>Term</w:t>
      </w:r>
      <w:r w:rsidR="00D33973" w:rsidRPr="73966AA4">
        <w:rPr>
          <w:b/>
          <w:bCs/>
        </w:rPr>
        <w:t xml:space="preserve">: </w:t>
      </w:r>
      <w:r w:rsidR="00756477" w:rsidRPr="00756477">
        <w:t>«</w:t>
      </w:r>
      <w:proofErr w:type="gramEnd"/>
      <w:r w:rsidR="00756477" w:rsidRPr="00756477">
        <w:t>LENGTH (9- or 12-</w:t>
      </w:r>
      <w:proofErr w:type="gramStart"/>
      <w:r w:rsidR="00756477" w:rsidRPr="00756477">
        <w:t>month)»</w:t>
      </w:r>
      <w:proofErr w:type="gramEnd"/>
    </w:p>
    <w:p w14:paraId="292FC891" w14:textId="2CD6C2BE" w:rsidR="00D33973" w:rsidRDefault="00D33973" w:rsidP="00D33973">
      <w:pPr>
        <w:rPr>
          <w:iCs/>
        </w:rPr>
      </w:pPr>
      <w:r w:rsidRPr="00D33973">
        <w:rPr>
          <w:b/>
          <w:iCs/>
        </w:rPr>
        <w:t xml:space="preserve">Salary: </w:t>
      </w:r>
      <w:r w:rsidRPr="00D33973">
        <w:rPr>
          <w:iCs/>
        </w:rPr>
        <w:t>$</w:t>
      </w:r>
      <w:r w:rsidR="002278C0">
        <w:rPr>
          <w:iCs/>
        </w:rPr>
        <w:t>XX</w:t>
      </w:r>
      <w:r w:rsidRPr="00D33973">
        <w:rPr>
          <w:iCs/>
        </w:rPr>
        <w:t xml:space="preserve"> per year</w:t>
      </w:r>
    </w:p>
    <w:p w14:paraId="30EB3D90" w14:textId="2C3793E2" w:rsidR="00181A01" w:rsidRDefault="00181A01" w:rsidP="00D33973">
      <w:pPr>
        <w:rPr>
          <w:b/>
          <w:bCs/>
          <w:iCs/>
        </w:rPr>
      </w:pPr>
      <w:r>
        <w:rPr>
          <w:b/>
          <w:bCs/>
          <w:iCs/>
        </w:rPr>
        <w:t>Responsibilities:</w:t>
      </w:r>
    </w:p>
    <w:p w14:paraId="46A3B8F2" w14:textId="77777777" w:rsidR="004C55D9" w:rsidRDefault="004C55D9" w:rsidP="00D33973">
      <w:pPr>
        <w:rPr>
          <w:iCs/>
        </w:rPr>
      </w:pPr>
      <w:r w:rsidRPr="004C55D9">
        <w:rPr>
          <w:iCs/>
        </w:rPr>
        <w:t xml:space="preserve">Faculty </w:t>
      </w:r>
      <w:r>
        <w:rPr>
          <w:iCs/>
        </w:rPr>
        <w:t>are expected to:</w:t>
      </w:r>
    </w:p>
    <w:p w14:paraId="03EDC4CF" w14:textId="62DE085A" w:rsidR="004C55D9" w:rsidRPr="00F730B6" w:rsidRDefault="004C55D9" w:rsidP="00F730B6">
      <w:pPr>
        <w:pStyle w:val="ListParagraph"/>
        <w:numPr>
          <w:ilvl w:val="0"/>
          <w:numId w:val="6"/>
        </w:numPr>
        <w:rPr>
          <w:iCs/>
        </w:rPr>
      </w:pPr>
      <w:r w:rsidRPr="00F730B6">
        <w:rPr>
          <w:iCs/>
        </w:rPr>
        <w:t>Adhere to the Responsibilities of Academic Staff Policy.</w:t>
      </w:r>
    </w:p>
    <w:p w14:paraId="6616A15D" w14:textId="0878A856" w:rsidR="004C55D9" w:rsidRPr="00F730B6" w:rsidRDefault="004C55D9" w:rsidP="00F730B6">
      <w:pPr>
        <w:pStyle w:val="ListParagraph"/>
        <w:numPr>
          <w:ilvl w:val="0"/>
          <w:numId w:val="6"/>
        </w:numPr>
        <w:rPr>
          <w:iCs/>
        </w:rPr>
      </w:pPr>
      <w:r w:rsidRPr="00F730B6">
        <w:rPr>
          <w:iCs/>
        </w:rPr>
        <w:t xml:space="preserve">Familiarize themselves with the </w:t>
      </w:r>
      <w:r w:rsidR="00F730B6" w:rsidRPr="00F730B6">
        <w:rPr>
          <w:iCs/>
        </w:rPr>
        <w:t>Faculty Annual Performance Review (APR) and Evaluation Policy</w:t>
      </w:r>
      <w:r w:rsidR="00F730B6">
        <w:rPr>
          <w:iCs/>
        </w:rPr>
        <w:t>, Faculty Compensation Policy, and Termination of Service Policy.</w:t>
      </w:r>
    </w:p>
    <w:p w14:paraId="0FD7EC03" w14:textId="0A67F8E6" w:rsidR="00F730B6" w:rsidRDefault="00F730B6" w:rsidP="00F730B6">
      <w:pPr>
        <w:pStyle w:val="ListParagraph"/>
        <w:numPr>
          <w:ilvl w:val="0"/>
          <w:numId w:val="6"/>
        </w:numPr>
        <w:rPr>
          <w:iCs/>
        </w:rPr>
      </w:pPr>
      <w:r w:rsidRPr="00F730B6">
        <w:rPr>
          <w:iCs/>
        </w:rPr>
        <w:t>Familiarize themselves with the Faculty Tenure Policy and the Faculty Promotion Policy, if in a tenure-track position.</w:t>
      </w:r>
    </w:p>
    <w:p w14:paraId="721C630B" w14:textId="40B3C160" w:rsidR="00624A3F" w:rsidRPr="00F730B6" w:rsidRDefault="00624A3F" w:rsidP="00F730B6">
      <w:pPr>
        <w:pStyle w:val="ListParagraph"/>
        <w:numPr>
          <w:ilvl w:val="0"/>
          <w:numId w:val="6"/>
        </w:numPr>
        <w:rPr>
          <w:iCs/>
        </w:rPr>
      </w:pPr>
      <w:r>
        <w:rPr>
          <w:iCs/>
        </w:rPr>
        <w:t>Adhere to departmental- and college-specific requirements and expectations.</w:t>
      </w:r>
    </w:p>
    <w:p w14:paraId="14F57DEC" w14:textId="316784D8" w:rsidR="00181A01" w:rsidRPr="00181A01" w:rsidRDefault="00181A01" w:rsidP="00181A01">
      <w:pPr>
        <w:rPr>
          <w:bCs/>
          <w:iCs/>
        </w:rPr>
      </w:pPr>
      <w:r w:rsidRPr="00181A01">
        <w:rPr>
          <w:b/>
          <w:bCs/>
          <w:iCs/>
        </w:rPr>
        <w:t>Teaching</w:t>
      </w:r>
      <w:r w:rsidR="004C55D9">
        <w:rPr>
          <w:b/>
          <w:bCs/>
          <w:iCs/>
        </w:rPr>
        <w:t xml:space="preserve">: </w:t>
      </w:r>
      <w:r w:rsidRPr="00181A01">
        <w:rPr>
          <w:bCs/>
          <w:iCs/>
        </w:rPr>
        <w:t>The primary responsibility of all faculty members is effective teaching.</w:t>
      </w:r>
    </w:p>
    <w:p w14:paraId="28EC8F31" w14:textId="77777777" w:rsidR="00181A01" w:rsidRPr="00181A01" w:rsidRDefault="00181A01" w:rsidP="00181A01">
      <w:pPr>
        <w:numPr>
          <w:ilvl w:val="0"/>
          <w:numId w:val="2"/>
        </w:numPr>
        <w:contextualSpacing/>
        <w:rPr>
          <w:bCs/>
          <w:iCs/>
        </w:rPr>
      </w:pPr>
      <w:r w:rsidRPr="00181A01">
        <w:rPr>
          <w:bCs/>
          <w:iCs/>
        </w:rPr>
        <w:t>Faculty holding a terminal degree normally teach 12 credit hours per semester; faculty holding a master’s degree normally teach 15 credit hours per semester.</w:t>
      </w:r>
    </w:p>
    <w:p w14:paraId="163E1715" w14:textId="77777777" w:rsidR="00181A01" w:rsidRPr="00181A01" w:rsidRDefault="00181A01" w:rsidP="00181A01">
      <w:pPr>
        <w:numPr>
          <w:ilvl w:val="0"/>
          <w:numId w:val="2"/>
        </w:numPr>
        <w:contextualSpacing/>
        <w:rPr>
          <w:bCs/>
          <w:iCs/>
        </w:rPr>
      </w:pPr>
      <w:r w:rsidRPr="00181A01">
        <w:rPr>
          <w:bCs/>
          <w:iCs/>
        </w:rPr>
        <w:t>Full-time faculty are expected to schedule at least ten office hours each week during the regular semester and at least five office hours each week during the summer session, at various times to meet student needs.</w:t>
      </w:r>
    </w:p>
    <w:p w14:paraId="670830A8" w14:textId="6F9D0C6D" w:rsidR="00181A01" w:rsidRPr="00181A01" w:rsidRDefault="00181A01" w:rsidP="00181A01">
      <w:pPr>
        <w:numPr>
          <w:ilvl w:val="0"/>
          <w:numId w:val="2"/>
        </w:numPr>
        <w:contextualSpacing/>
        <w:rPr>
          <w:bCs/>
          <w:iCs/>
        </w:rPr>
      </w:pPr>
      <w:r w:rsidRPr="00181A01">
        <w:rPr>
          <w:bCs/>
          <w:iCs/>
        </w:rPr>
        <w:t>Teaching duties may include general education courses</w:t>
      </w:r>
      <w:r>
        <w:rPr>
          <w:bCs/>
          <w:iCs/>
        </w:rPr>
        <w:t xml:space="preserve"> </w:t>
      </w:r>
      <w:r w:rsidRPr="00181A01">
        <w:rPr>
          <w:bCs/>
          <w:iCs/>
        </w:rPr>
        <w:t>and participation in University-directed assessment activities that support program and institutional improvement.</w:t>
      </w:r>
    </w:p>
    <w:p w14:paraId="403F876E" w14:textId="77777777" w:rsidR="00181A01" w:rsidRDefault="00181A01" w:rsidP="00F730B6">
      <w:pPr>
        <w:numPr>
          <w:ilvl w:val="0"/>
          <w:numId w:val="2"/>
        </w:numPr>
        <w:spacing w:after="0" w:line="240" w:lineRule="auto"/>
        <w:rPr>
          <w:bCs/>
          <w:iCs/>
        </w:rPr>
      </w:pPr>
      <w:r w:rsidRPr="00181A01">
        <w:rPr>
          <w:bCs/>
          <w:iCs/>
        </w:rPr>
        <w:t>Faculty are expected to prepare and deliver courses in accordance with approved syllabi, maintain regular communication with students, and ensure timely submission of grades and attendance verification.</w:t>
      </w:r>
    </w:p>
    <w:p w14:paraId="555309CC" w14:textId="0064CD86" w:rsidR="00F730B6" w:rsidRDefault="00F730B6" w:rsidP="00F730B6">
      <w:pPr>
        <w:numPr>
          <w:ilvl w:val="0"/>
          <w:numId w:val="2"/>
        </w:numPr>
        <w:spacing w:after="0" w:line="240" w:lineRule="auto"/>
        <w:rPr>
          <w:bCs/>
          <w:iCs/>
        </w:rPr>
      </w:pPr>
      <w:r>
        <w:rPr>
          <w:bCs/>
          <w:iCs/>
        </w:rPr>
        <w:t>Faculty are expected to participate in the c</w:t>
      </w:r>
      <w:r w:rsidRPr="00F730B6">
        <w:rPr>
          <w:bCs/>
          <w:iCs/>
        </w:rPr>
        <w:t xml:space="preserve">ontinual review and revision </w:t>
      </w:r>
      <w:r>
        <w:rPr>
          <w:bCs/>
          <w:iCs/>
        </w:rPr>
        <w:t xml:space="preserve">of courses and the curriculum </w:t>
      </w:r>
      <w:r w:rsidRPr="00F730B6">
        <w:rPr>
          <w:bCs/>
          <w:iCs/>
        </w:rPr>
        <w:t>to maintain currency in the discipline and pedagogical approaches.</w:t>
      </w:r>
    </w:p>
    <w:p w14:paraId="5C03FE10" w14:textId="0D3C026C" w:rsidR="00F730B6" w:rsidRDefault="00F730B6" w:rsidP="00F730B6">
      <w:pPr>
        <w:numPr>
          <w:ilvl w:val="0"/>
          <w:numId w:val="2"/>
        </w:numPr>
        <w:spacing w:after="0" w:line="240" w:lineRule="auto"/>
        <w:rPr>
          <w:bCs/>
          <w:iCs/>
        </w:rPr>
      </w:pPr>
      <w:r>
        <w:rPr>
          <w:bCs/>
          <w:iCs/>
        </w:rPr>
        <w:t>Faculty are expected to effectively advise students, if assigned.</w:t>
      </w:r>
    </w:p>
    <w:p w14:paraId="6D510938" w14:textId="77777777" w:rsidR="00F730B6" w:rsidRPr="00181A01" w:rsidRDefault="00F730B6" w:rsidP="00F730B6">
      <w:pPr>
        <w:spacing w:after="0" w:line="240" w:lineRule="auto"/>
        <w:ind w:left="720"/>
        <w:rPr>
          <w:bCs/>
          <w:iCs/>
        </w:rPr>
      </w:pPr>
    </w:p>
    <w:p w14:paraId="72F702C4" w14:textId="7EC5E6A8" w:rsidR="00181A01" w:rsidRPr="00181A01" w:rsidRDefault="00181A01" w:rsidP="00181A01">
      <w:pPr>
        <w:rPr>
          <w:bCs/>
          <w:iCs/>
        </w:rPr>
      </w:pPr>
      <w:r w:rsidRPr="00181A01">
        <w:rPr>
          <w:b/>
          <w:bCs/>
          <w:iCs/>
        </w:rPr>
        <w:t>Scholarly and Professional Activity</w:t>
      </w:r>
      <w:r w:rsidR="004C55D9">
        <w:rPr>
          <w:b/>
          <w:bCs/>
          <w:iCs/>
        </w:rPr>
        <w:t xml:space="preserve">: </w:t>
      </w:r>
      <w:r w:rsidRPr="00181A01">
        <w:rPr>
          <w:bCs/>
          <w:iCs/>
        </w:rPr>
        <w:t>Faculty are expected to remain active in their disciplines and contribute to professional advancement through:</w:t>
      </w:r>
    </w:p>
    <w:p w14:paraId="0932004F" w14:textId="77777777" w:rsidR="00181A01" w:rsidRPr="00181A01" w:rsidRDefault="00181A01" w:rsidP="00181A01">
      <w:pPr>
        <w:numPr>
          <w:ilvl w:val="0"/>
          <w:numId w:val="3"/>
        </w:numPr>
        <w:contextualSpacing/>
        <w:rPr>
          <w:bCs/>
          <w:iCs/>
        </w:rPr>
      </w:pPr>
      <w:r w:rsidRPr="00181A01">
        <w:rPr>
          <w:bCs/>
          <w:iCs/>
        </w:rPr>
        <w:t xml:space="preserve">Publication or presentation in professional </w:t>
      </w:r>
      <w:proofErr w:type="gramStart"/>
      <w:r w:rsidRPr="00181A01">
        <w:rPr>
          <w:bCs/>
          <w:iCs/>
        </w:rPr>
        <w:t>venues;</w:t>
      </w:r>
      <w:proofErr w:type="gramEnd"/>
    </w:p>
    <w:p w14:paraId="5E4287C7" w14:textId="77777777" w:rsidR="00181A01" w:rsidRPr="00181A01" w:rsidRDefault="00181A01" w:rsidP="00181A01">
      <w:pPr>
        <w:numPr>
          <w:ilvl w:val="0"/>
          <w:numId w:val="3"/>
        </w:numPr>
        <w:contextualSpacing/>
        <w:rPr>
          <w:bCs/>
          <w:iCs/>
        </w:rPr>
      </w:pPr>
      <w:r w:rsidRPr="00181A01">
        <w:rPr>
          <w:bCs/>
          <w:iCs/>
        </w:rPr>
        <w:t xml:space="preserve">Participation in conferences, workshops, or professional </w:t>
      </w:r>
      <w:proofErr w:type="gramStart"/>
      <w:r w:rsidRPr="00181A01">
        <w:rPr>
          <w:bCs/>
          <w:iCs/>
        </w:rPr>
        <w:t>organizations;</w:t>
      </w:r>
      <w:proofErr w:type="gramEnd"/>
    </w:p>
    <w:p w14:paraId="395FB629" w14:textId="77777777" w:rsidR="00181A01" w:rsidRPr="00181A01" w:rsidRDefault="00181A01" w:rsidP="00181A01">
      <w:pPr>
        <w:numPr>
          <w:ilvl w:val="0"/>
          <w:numId w:val="3"/>
        </w:numPr>
        <w:contextualSpacing/>
        <w:rPr>
          <w:bCs/>
          <w:iCs/>
        </w:rPr>
      </w:pPr>
      <w:r w:rsidRPr="00181A01">
        <w:rPr>
          <w:bCs/>
          <w:iCs/>
        </w:rPr>
        <w:t>Scholarly or creative activity appropriate to the discipline; and</w:t>
      </w:r>
    </w:p>
    <w:p w14:paraId="27DC06B5" w14:textId="77777777" w:rsidR="00181A01" w:rsidRPr="00181A01" w:rsidRDefault="00181A01" w:rsidP="00181A01">
      <w:pPr>
        <w:numPr>
          <w:ilvl w:val="0"/>
          <w:numId w:val="3"/>
        </w:numPr>
        <w:rPr>
          <w:bCs/>
          <w:iCs/>
        </w:rPr>
      </w:pPr>
      <w:r w:rsidRPr="00181A01">
        <w:rPr>
          <w:bCs/>
          <w:iCs/>
        </w:rPr>
        <w:t>Professional engagement that enhances teaching and advances the mission of the University.</w:t>
      </w:r>
    </w:p>
    <w:p w14:paraId="493C8FA9" w14:textId="3644BC76" w:rsidR="00181A01" w:rsidRPr="00181A01" w:rsidRDefault="00181A01" w:rsidP="00181A01">
      <w:pPr>
        <w:rPr>
          <w:bCs/>
          <w:iCs/>
        </w:rPr>
      </w:pPr>
      <w:r w:rsidRPr="00181A01">
        <w:rPr>
          <w:b/>
          <w:bCs/>
          <w:iCs/>
        </w:rPr>
        <w:t>University and Community Service</w:t>
      </w:r>
      <w:r w:rsidR="004C55D9">
        <w:rPr>
          <w:b/>
          <w:bCs/>
          <w:iCs/>
        </w:rPr>
        <w:t xml:space="preserve">: </w:t>
      </w:r>
      <w:r w:rsidRPr="00181A01">
        <w:rPr>
          <w:bCs/>
          <w:iCs/>
        </w:rPr>
        <w:t>Faculty contribute to the University and community through:</w:t>
      </w:r>
    </w:p>
    <w:p w14:paraId="084C3E9D" w14:textId="77777777" w:rsidR="00F730B6" w:rsidRDefault="00F730B6" w:rsidP="00181A01">
      <w:pPr>
        <w:numPr>
          <w:ilvl w:val="0"/>
          <w:numId w:val="4"/>
        </w:numPr>
        <w:contextualSpacing/>
        <w:rPr>
          <w:bCs/>
          <w:iCs/>
        </w:rPr>
      </w:pPr>
      <w:r>
        <w:rPr>
          <w:bCs/>
          <w:iCs/>
        </w:rPr>
        <w:t xml:space="preserve">Student recruitment and retention </w:t>
      </w:r>
      <w:proofErr w:type="gramStart"/>
      <w:r>
        <w:rPr>
          <w:bCs/>
          <w:iCs/>
        </w:rPr>
        <w:t>activities;</w:t>
      </w:r>
      <w:proofErr w:type="gramEnd"/>
    </w:p>
    <w:p w14:paraId="336011B3" w14:textId="6DBBA1D5" w:rsidR="00181A01" w:rsidRPr="00F730B6" w:rsidRDefault="00F730B6" w:rsidP="00F730B6">
      <w:pPr>
        <w:numPr>
          <w:ilvl w:val="0"/>
          <w:numId w:val="4"/>
        </w:numPr>
        <w:contextualSpacing/>
        <w:rPr>
          <w:bCs/>
          <w:iCs/>
        </w:rPr>
      </w:pPr>
      <w:r>
        <w:rPr>
          <w:bCs/>
          <w:iCs/>
        </w:rPr>
        <w:t>S</w:t>
      </w:r>
      <w:r w:rsidR="00181A01" w:rsidRPr="00F730B6">
        <w:rPr>
          <w:bCs/>
          <w:iCs/>
        </w:rPr>
        <w:t>tudent mentoring</w:t>
      </w:r>
      <w:r>
        <w:rPr>
          <w:bCs/>
          <w:iCs/>
        </w:rPr>
        <w:t xml:space="preserve"> and student success </w:t>
      </w:r>
      <w:proofErr w:type="gramStart"/>
      <w:r>
        <w:rPr>
          <w:bCs/>
          <w:iCs/>
        </w:rPr>
        <w:t>initiatives</w:t>
      </w:r>
      <w:r w:rsidR="00181A01" w:rsidRPr="00F730B6">
        <w:rPr>
          <w:bCs/>
          <w:iCs/>
        </w:rPr>
        <w:t>;</w:t>
      </w:r>
      <w:proofErr w:type="gramEnd"/>
    </w:p>
    <w:p w14:paraId="0793C890" w14:textId="77777777" w:rsidR="00181A01" w:rsidRPr="00181A01" w:rsidRDefault="00181A01" w:rsidP="00181A01">
      <w:pPr>
        <w:numPr>
          <w:ilvl w:val="0"/>
          <w:numId w:val="4"/>
        </w:numPr>
        <w:contextualSpacing/>
        <w:rPr>
          <w:bCs/>
          <w:iCs/>
        </w:rPr>
      </w:pPr>
      <w:r w:rsidRPr="00181A01">
        <w:rPr>
          <w:bCs/>
          <w:iCs/>
        </w:rPr>
        <w:t xml:space="preserve">Participation in departmental, college, and University </w:t>
      </w:r>
      <w:proofErr w:type="gramStart"/>
      <w:r w:rsidRPr="00181A01">
        <w:rPr>
          <w:bCs/>
          <w:iCs/>
        </w:rPr>
        <w:t>committees;</w:t>
      </w:r>
      <w:proofErr w:type="gramEnd"/>
    </w:p>
    <w:p w14:paraId="4B81E932" w14:textId="77777777" w:rsidR="00181A01" w:rsidRPr="00181A01" w:rsidRDefault="00181A01" w:rsidP="00181A01">
      <w:pPr>
        <w:numPr>
          <w:ilvl w:val="0"/>
          <w:numId w:val="4"/>
        </w:numPr>
        <w:contextualSpacing/>
        <w:rPr>
          <w:bCs/>
          <w:iCs/>
        </w:rPr>
      </w:pPr>
      <w:r w:rsidRPr="00181A01">
        <w:rPr>
          <w:bCs/>
          <w:iCs/>
        </w:rPr>
        <w:lastRenderedPageBreak/>
        <w:t>Attendance at commencement and other academic ceremonies; and</w:t>
      </w:r>
    </w:p>
    <w:p w14:paraId="51DBF56F" w14:textId="77777777" w:rsidR="00181A01" w:rsidRPr="00181A01" w:rsidRDefault="00181A01" w:rsidP="00181A01">
      <w:pPr>
        <w:numPr>
          <w:ilvl w:val="0"/>
          <w:numId w:val="4"/>
        </w:numPr>
        <w:rPr>
          <w:bCs/>
          <w:iCs/>
        </w:rPr>
      </w:pPr>
      <w:r w:rsidRPr="00181A01">
        <w:rPr>
          <w:bCs/>
          <w:iCs/>
        </w:rPr>
        <w:t>Service activities that promote student success and community engagement.</w:t>
      </w:r>
    </w:p>
    <w:p w14:paraId="13D95025" w14:textId="6E99BC9C" w:rsidR="00181A01" w:rsidRPr="00181A01" w:rsidRDefault="00181A01" w:rsidP="00181A01">
      <w:pPr>
        <w:rPr>
          <w:bCs/>
          <w:iCs/>
        </w:rPr>
      </w:pPr>
      <w:r w:rsidRPr="00181A01">
        <w:rPr>
          <w:b/>
          <w:bCs/>
          <w:iCs/>
        </w:rPr>
        <w:t>Collegiality and Compliance</w:t>
      </w:r>
      <w:r w:rsidR="004C55D9">
        <w:rPr>
          <w:b/>
          <w:bCs/>
          <w:iCs/>
        </w:rPr>
        <w:t xml:space="preserve">: </w:t>
      </w:r>
      <w:r w:rsidRPr="00181A01">
        <w:rPr>
          <w:bCs/>
          <w:iCs/>
        </w:rPr>
        <w:t>Faculty are expected to:</w:t>
      </w:r>
    </w:p>
    <w:p w14:paraId="12E44B40" w14:textId="77777777" w:rsidR="00181A01" w:rsidRPr="00181A01" w:rsidRDefault="00181A01" w:rsidP="00181A01">
      <w:pPr>
        <w:numPr>
          <w:ilvl w:val="0"/>
          <w:numId w:val="5"/>
        </w:numPr>
        <w:contextualSpacing/>
        <w:rPr>
          <w:bCs/>
          <w:iCs/>
        </w:rPr>
      </w:pPr>
      <w:r w:rsidRPr="00181A01">
        <w:rPr>
          <w:bCs/>
          <w:iCs/>
        </w:rPr>
        <w:t xml:space="preserve">Foster collegial relationships with faculty, staff, and </w:t>
      </w:r>
      <w:proofErr w:type="gramStart"/>
      <w:r w:rsidRPr="00181A01">
        <w:rPr>
          <w:bCs/>
          <w:iCs/>
        </w:rPr>
        <w:t>students;</w:t>
      </w:r>
      <w:proofErr w:type="gramEnd"/>
    </w:p>
    <w:p w14:paraId="5B278561" w14:textId="3FE8E866" w:rsidR="00181A01" w:rsidRPr="00181A01" w:rsidRDefault="00181A01" w:rsidP="00181A01">
      <w:pPr>
        <w:numPr>
          <w:ilvl w:val="0"/>
          <w:numId w:val="5"/>
        </w:numPr>
        <w:contextualSpacing/>
        <w:rPr>
          <w:bCs/>
          <w:iCs/>
        </w:rPr>
      </w:pPr>
      <w:r w:rsidRPr="00181A01">
        <w:rPr>
          <w:bCs/>
          <w:iCs/>
        </w:rPr>
        <w:t xml:space="preserve">Adhere to University, </w:t>
      </w:r>
      <w:r w:rsidR="00000167">
        <w:rPr>
          <w:bCs/>
          <w:iCs/>
        </w:rPr>
        <w:t>University of Louisiana (UL)</w:t>
      </w:r>
      <w:r w:rsidRPr="00181A01">
        <w:rPr>
          <w:bCs/>
          <w:iCs/>
        </w:rPr>
        <w:t xml:space="preserve"> System, and state policies and </w:t>
      </w:r>
      <w:proofErr w:type="gramStart"/>
      <w:r w:rsidRPr="00181A01">
        <w:rPr>
          <w:bCs/>
          <w:iCs/>
        </w:rPr>
        <w:t>procedures;</w:t>
      </w:r>
      <w:proofErr w:type="gramEnd"/>
    </w:p>
    <w:p w14:paraId="1634BDBF" w14:textId="77777777" w:rsidR="00181A01" w:rsidRPr="00181A01" w:rsidRDefault="00181A01" w:rsidP="00181A01">
      <w:pPr>
        <w:numPr>
          <w:ilvl w:val="0"/>
          <w:numId w:val="5"/>
        </w:numPr>
        <w:contextualSpacing/>
        <w:rPr>
          <w:bCs/>
          <w:iCs/>
        </w:rPr>
      </w:pPr>
      <w:r w:rsidRPr="00181A01">
        <w:rPr>
          <w:bCs/>
          <w:iCs/>
        </w:rPr>
        <w:t>Maintain professional conduct and contribute to a respectful learning environment; and</w:t>
      </w:r>
    </w:p>
    <w:p w14:paraId="00600442" w14:textId="69F94539" w:rsidR="00181A01" w:rsidRPr="00181A01" w:rsidRDefault="00181A01" w:rsidP="00181A01">
      <w:pPr>
        <w:numPr>
          <w:ilvl w:val="0"/>
          <w:numId w:val="5"/>
        </w:numPr>
        <w:rPr>
          <w:bCs/>
          <w:iCs/>
        </w:rPr>
      </w:pPr>
      <w:r w:rsidRPr="00181A01">
        <w:rPr>
          <w:bCs/>
          <w:iCs/>
        </w:rPr>
        <w:t>Support the University’s mission through teaching, scholarship, and service.</w:t>
      </w:r>
    </w:p>
    <w:p w14:paraId="33CE8981" w14:textId="06DB2F21" w:rsidR="00D33973" w:rsidRPr="00D33973" w:rsidRDefault="00D33973" w:rsidP="00D33973">
      <w:pPr>
        <w:rPr>
          <w:b/>
          <w:iCs/>
        </w:rPr>
      </w:pPr>
      <w:r w:rsidRPr="00D33973">
        <w:rPr>
          <w:b/>
          <w:iCs/>
        </w:rPr>
        <w:t xml:space="preserve">DATE </w:t>
      </w:r>
      <w:proofErr w:type="gramStart"/>
      <w:r w:rsidRPr="00D33973">
        <w:rPr>
          <w:b/>
          <w:iCs/>
        </w:rPr>
        <w:t xml:space="preserve">PREPARED: </w:t>
      </w:r>
      <w:r w:rsidR="004C55D9">
        <w:t>«</w:t>
      </w:r>
      <w:proofErr w:type="gramEnd"/>
      <w:r w:rsidR="004C55D9">
        <w:t>DATE»</w:t>
      </w:r>
    </w:p>
    <w:p w14:paraId="3ED2DE7F" w14:textId="77777777" w:rsidR="00EA0E73" w:rsidRDefault="00EA0E73"/>
    <w:sectPr w:rsidR="00EA0E73" w:rsidSect="00B305AB">
      <w:headerReference w:type="default" r:id="rId9"/>
      <w:footerReference w:type="default" r:id="rId10"/>
      <w:pgSz w:w="12240" w:h="15840" w:code="1"/>
      <w:pgMar w:top="634" w:right="720" w:bottom="1080" w:left="72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0E53" w14:textId="77777777" w:rsidR="00934CB3" w:rsidRDefault="00934CB3" w:rsidP="00D33973">
      <w:pPr>
        <w:spacing w:after="0" w:line="240" w:lineRule="auto"/>
      </w:pPr>
      <w:r>
        <w:separator/>
      </w:r>
    </w:p>
  </w:endnote>
  <w:endnote w:type="continuationSeparator" w:id="0">
    <w:p w14:paraId="46587DC7" w14:textId="77777777" w:rsidR="00934CB3" w:rsidRDefault="00934CB3" w:rsidP="00D3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BEF1" w14:textId="79D075EA" w:rsidR="00B47499" w:rsidRPr="00B305AB" w:rsidRDefault="28977A05" w:rsidP="28977A05">
    <w:pPr>
      <w:pStyle w:val="BodyText"/>
      <w:spacing w:after="0" w:line="240" w:lineRule="auto"/>
      <w:jc w:val="center"/>
      <w:rPr>
        <w:rFonts w:ascii="Calibri" w:eastAsia="Calibri" w:hAnsi="Calibri" w:cs="Calibri"/>
        <w:i/>
        <w:iCs/>
        <w:sz w:val="16"/>
        <w:szCs w:val="16"/>
      </w:rPr>
    </w:pPr>
    <w:r w:rsidRPr="28977A05">
      <w:rPr>
        <w:rFonts w:ascii="Calibri" w:eastAsia="Calibri" w:hAnsi="Calibri" w:cs="Calibri"/>
        <w:i/>
        <w:iCs/>
        <w:sz w:val="16"/>
        <w:szCs w:val="16"/>
      </w:rPr>
      <w:t>AA/EEO/ADA</w:t>
    </w:r>
  </w:p>
  <w:p w14:paraId="1ACEB228" w14:textId="31A7C076" w:rsidR="73966AA4" w:rsidRPr="00B305AB" w:rsidRDefault="28977A05" w:rsidP="28977A05">
    <w:pPr>
      <w:pStyle w:val="BodyText"/>
      <w:spacing w:after="0" w:line="240" w:lineRule="auto"/>
      <w:jc w:val="center"/>
      <w:rPr>
        <w:rFonts w:ascii="Calibri" w:eastAsia="Calibri" w:hAnsi="Calibri" w:cs="Calibri"/>
        <w:i/>
        <w:iCs/>
        <w:sz w:val="16"/>
        <w:szCs w:val="16"/>
      </w:rPr>
    </w:pPr>
    <w:r w:rsidRPr="28977A05">
      <w:rPr>
        <w:rFonts w:ascii="Calibri" w:eastAsia="Calibri" w:hAnsi="Calibri" w:cs="Calibri"/>
        <w:i/>
        <w:iCs/>
        <w:sz w:val="16"/>
        <w:szCs w:val="16"/>
      </w:rPr>
      <w:t>McNeese is a member of the University of Louisiana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C204" w14:textId="77777777" w:rsidR="00934CB3" w:rsidRDefault="00934CB3" w:rsidP="00D33973">
      <w:pPr>
        <w:spacing w:after="0" w:line="240" w:lineRule="auto"/>
      </w:pPr>
      <w:r>
        <w:separator/>
      </w:r>
    </w:p>
  </w:footnote>
  <w:footnote w:type="continuationSeparator" w:id="0">
    <w:p w14:paraId="3867C144" w14:textId="77777777" w:rsidR="00934CB3" w:rsidRDefault="00934CB3" w:rsidP="00D3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38B1" w14:textId="38F75914" w:rsidR="73966AA4" w:rsidRDefault="73966AA4" w:rsidP="73966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741"/>
    <w:multiLevelType w:val="multilevel"/>
    <w:tmpl w:val="09DE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F3657"/>
    <w:multiLevelType w:val="multilevel"/>
    <w:tmpl w:val="C602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B58C9"/>
    <w:multiLevelType w:val="multilevel"/>
    <w:tmpl w:val="C564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F5120"/>
    <w:multiLevelType w:val="multilevel"/>
    <w:tmpl w:val="FF86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F39DA"/>
    <w:multiLevelType w:val="hybridMultilevel"/>
    <w:tmpl w:val="3432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D60D68"/>
    <w:multiLevelType w:val="hybridMultilevel"/>
    <w:tmpl w:val="0F404BDC"/>
    <w:lvl w:ilvl="0" w:tplc="A8321D5C">
      <w:numFmt w:val="bullet"/>
      <w:lvlText w:val=""/>
      <w:lvlJc w:val="left"/>
      <w:pPr>
        <w:ind w:left="720" w:hanging="361"/>
      </w:pPr>
      <w:rPr>
        <w:rFonts w:ascii="Symbol" w:eastAsia="Symbol" w:hAnsi="Symbol" w:cs="Symbol" w:hint="default"/>
        <w:b w:val="0"/>
        <w:bCs w:val="0"/>
        <w:i w:val="0"/>
        <w:iCs w:val="0"/>
        <w:spacing w:val="0"/>
        <w:w w:val="99"/>
        <w:sz w:val="20"/>
        <w:szCs w:val="20"/>
        <w:lang w:val="en-US" w:eastAsia="en-US" w:bidi="ar-SA"/>
      </w:rPr>
    </w:lvl>
    <w:lvl w:ilvl="1" w:tplc="9AF29E28">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DAE8A76E">
      <w:numFmt w:val="bullet"/>
      <w:lvlText w:val="•"/>
      <w:lvlJc w:val="left"/>
      <w:pPr>
        <w:ind w:left="2480" w:hanging="360"/>
      </w:pPr>
      <w:rPr>
        <w:rFonts w:hint="default"/>
        <w:lang w:val="en-US" w:eastAsia="en-US" w:bidi="ar-SA"/>
      </w:rPr>
    </w:lvl>
    <w:lvl w:ilvl="3" w:tplc="B0040822">
      <w:numFmt w:val="bullet"/>
      <w:lvlText w:val="•"/>
      <w:lvlJc w:val="left"/>
      <w:pPr>
        <w:ind w:left="3520" w:hanging="360"/>
      </w:pPr>
      <w:rPr>
        <w:rFonts w:hint="default"/>
        <w:lang w:val="en-US" w:eastAsia="en-US" w:bidi="ar-SA"/>
      </w:rPr>
    </w:lvl>
    <w:lvl w:ilvl="4" w:tplc="7892E8FA">
      <w:numFmt w:val="bullet"/>
      <w:lvlText w:val="•"/>
      <w:lvlJc w:val="left"/>
      <w:pPr>
        <w:ind w:left="4560" w:hanging="360"/>
      </w:pPr>
      <w:rPr>
        <w:rFonts w:hint="default"/>
        <w:lang w:val="en-US" w:eastAsia="en-US" w:bidi="ar-SA"/>
      </w:rPr>
    </w:lvl>
    <w:lvl w:ilvl="5" w:tplc="653038B0">
      <w:numFmt w:val="bullet"/>
      <w:lvlText w:val="•"/>
      <w:lvlJc w:val="left"/>
      <w:pPr>
        <w:ind w:left="5600" w:hanging="360"/>
      </w:pPr>
      <w:rPr>
        <w:rFonts w:hint="default"/>
        <w:lang w:val="en-US" w:eastAsia="en-US" w:bidi="ar-SA"/>
      </w:rPr>
    </w:lvl>
    <w:lvl w:ilvl="6" w:tplc="07EAD6B6">
      <w:numFmt w:val="bullet"/>
      <w:lvlText w:val="•"/>
      <w:lvlJc w:val="left"/>
      <w:pPr>
        <w:ind w:left="6640" w:hanging="360"/>
      </w:pPr>
      <w:rPr>
        <w:rFonts w:hint="default"/>
        <w:lang w:val="en-US" w:eastAsia="en-US" w:bidi="ar-SA"/>
      </w:rPr>
    </w:lvl>
    <w:lvl w:ilvl="7" w:tplc="9180746A">
      <w:numFmt w:val="bullet"/>
      <w:lvlText w:val="•"/>
      <w:lvlJc w:val="left"/>
      <w:pPr>
        <w:ind w:left="7680" w:hanging="360"/>
      </w:pPr>
      <w:rPr>
        <w:rFonts w:hint="default"/>
        <w:lang w:val="en-US" w:eastAsia="en-US" w:bidi="ar-SA"/>
      </w:rPr>
    </w:lvl>
    <w:lvl w:ilvl="8" w:tplc="AB7C2224">
      <w:numFmt w:val="bullet"/>
      <w:lvlText w:val="•"/>
      <w:lvlJc w:val="left"/>
      <w:pPr>
        <w:ind w:left="8720" w:hanging="360"/>
      </w:pPr>
      <w:rPr>
        <w:rFonts w:hint="default"/>
        <w:lang w:val="en-US" w:eastAsia="en-US" w:bidi="ar-SA"/>
      </w:rPr>
    </w:lvl>
  </w:abstractNum>
  <w:num w:numId="1" w16cid:durableId="1050299941">
    <w:abstractNumId w:val="5"/>
  </w:num>
  <w:num w:numId="2" w16cid:durableId="370422705">
    <w:abstractNumId w:val="2"/>
  </w:num>
  <w:num w:numId="3" w16cid:durableId="530842648">
    <w:abstractNumId w:val="3"/>
  </w:num>
  <w:num w:numId="4" w16cid:durableId="1656839861">
    <w:abstractNumId w:val="1"/>
  </w:num>
  <w:num w:numId="5" w16cid:durableId="705718438">
    <w:abstractNumId w:val="0"/>
  </w:num>
  <w:num w:numId="6" w16cid:durableId="735707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73"/>
    <w:rsid w:val="00000167"/>
    <w:rsid w:val="000013C4"/>
    <w:rsid w:val="00021021"/>
    <w:rsid w:val="00147852"/>
    <w:rsid w:val="00181A01"/>
    <w:rsid w:val="002278C0"/>
    <w:rsid w:val="002A03D1"/>
    <w:rsid w:val="003102F5"/>
    <w:rsid w:val="00343CD1"/>
    <w:rsid w:val="003B2157"/>
    <w:rsid w:val="004C55D9"/>
    <w:rsid w:val="00624A3F"/>
    <w:rsid w:val="006E65A8"/>
    <w:rsid w:val="00756477"/>
    <w:rsid w:val="008906A5"/>
    <w:rsid w:val="00934CB3"/>
    <w:rsid w:val="00B305AB"/>
    <w:rsid w:val="00B42E50"/>
    <w:rsid w:val="00B47499"/>
    <w:rsid w:val="00B611D7"/>
    <w:rsid w:val="00BA7446"/>
    <w:rsid w:val="00BD5333"/>
    <w:rsid w:val="00D037FD"/>
    <w:rsid w:val="00D33973"/>
    <w:rsid w:val="00D660A1"/>
    <w:rsid w:val="00D8440A"/>
    <w:rsid w:val="00DD759F"/>
    <w:rsid w:val="00E81F05"/>
    <w:rsid w:val="00E83935"/>
    <w:rsid w:val="00EA0E73"/>
    <w:rsid w:val="00EE5E9F"/>
    <w:rsid w:val="00F27875"/>
    <w:rsid w:val="00F61FB5"/>
    <w:rsid w:val="00F730B6"/>
    <w:rsid w:val="00F77628"/>
    <w:rsid w:val="026D74EA"/>
    <w:rsid w:val="03338429"/>
    <w:rsid w:val="0C2C3ECC"/>
    <w:rsid w:val="28977A05"/>
    <w:rsid w:val="2BF10E45"/>
    <w:rsid w:val="3698DE49"/>
    <w:rsid w:val="3700322B"/>
    <w:rsid w:val="3C8F3426"/>
    <w:rsid w:val="472D4148"/>
    <w:rsid w:val="52C2563B"/>
    <w:rsid w:val="7396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92755"/>
  <w15:chartTrackingRefBased/>
  <w15:docId w15:val="{4895AD69-0580-4411-A668-DCA89EB8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660A1"/>
    <w:pPr>
      <w:keepNext/>
      <w:keepLines/>
      <w:spacing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semiHidden/>
    <w:unhideWhenUsed/>
    <w:qFormat/>
    <w:rsid w:val="00D660A1"/>
    <w:pPr>
      <w:keepNext/>
      <w:keepLines/>
      <w:spacing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9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9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39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39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39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39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39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9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9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39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39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39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39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39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3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9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9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3973"/>
    <w:pPr>
      <w:spacing w:before="160"/>
      <w:jc w:val="center"/>
    </w:pPr>
    <w:rPr>
      <w:i/>
      <w:iCs/>
      <w:color w:val="404040" w:themeColor="text1" w:themeTint="BF"/>
    </w:rPr>
  </w:style>
  <w:style w:type="character" w:customStyle="1" w:styleId="QuoteChar">
    <w:name w:val="Quote Char"/>
    <w:basedOn w:val="DefaultParagraphFont"/>
    <w:link w:val="Quote"/>
    <w:uiPriority w:val="29"/>
    <w:rsid w:val="00D33973"/>
    <w:rPr>
      <w:i/>
      <w:iCs/>
      <w:color w:val="404040" w:themeColor="text1" w:themeTint="BF"/>
    </w:rPr>
  </w:style>
  <w:style w:type="paragraph" w:styleId="ListParagraph">
    <w:name w:val="List Paragraph"/>
    <w:basedOn w:val="Normal"/>
    <w:uiPriority w:val="34"/>
    <w:qFormat/>
    <w:rsid w:val="00D33973"/>
    <w:pPr>
      <w:ind w:left="720"/>
      <w:contextualSpacing/>
    </w:pPr>
  </w:style>
  <w:style w:type="character" w:styleId="IntenseEmphasis">
    <w:name w:val="Intense Emphasis"/>
    <w:basedOn w:val="DefaultParagraphFont"/>
    <w:uiPriority w:val="21"/>
    <w:qFormat/>
    <w:rsid w:val="00D33973"/>
    <w:rPr>
      <w:i/>
      <w:iCs/>
      <w:color w:val="0F4761" w:themeColor="accent1" w:themeShade="BF"/>
    </w:rPr>
  </w:style>
  <w:style w:type="paragraph" w:styleId="IntenseQuote">
    <w:name w:val="Intense Quote"/>
    <w:basedOn w:val="Normal"/>
    <w:next w:val="Normal"/>
    <w:link w:val="IntenseQuoteChar"/>
    <w:uiPriority w:val="30"/>
    <w:qFormat/>
    <w:rsid w:val="00D33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973"/>
    <w:rPr>
      <w:i/>
      <w:iCs/>
      <w:color w:val="0F4761" w:themeColor="accent1" w:themeShade="BF"/>
    </w:rPr>
  </w:style>
  <w:style w:type="character" w:styleId="IntenseReference">
    <w:name w:val="Intense Reference"/>
    <w:basedOn w:val="DefaultParagraphFont"/>
    <w:uiPriority w:val="32"/>
    <w:qFormat/>
    <w:rsid w:val="00D33973"/>
    <w:rPr>
      <w:b/>
      <w:bCs/>
      <w:smallCaps/>
      <w:color w:val="0F4761" w:themeColor="accent1" w:themeShade="BF"/>
      <w:spacing w:val="5"/>
    </w:rPr>
  </w:style>
  <w:style w:type="paragraph" w:styleId="BodyText">
    <w:name w:val="Body Text"/>
    <w:basedOn w:val="Normal"/>
    <w:link w:val="BodyTextChar"/>
    <w:uiPriority w:val="99"/>
    <w:semiHidden/>
    <w:unhideWhenUsed/>
    <w:rsid w:val="00D33973"/>
    <w:pPr>
      <w:spacing w:after="120"/>
    </w:pPr>
  </w:style>
  <w:style w:type="character" w:customStyle="1" w:styleId="BodyTextChar">
    <w:name w:val="Body Text Char"/>
    <w:basedOn w:val="DefaultParagraphFont"/>
    <w:link w:val="BodyText"/>
    <w:uiPriority w:val="99"/>
    <w:semiHidden/>
    <w:rsid w:val="00D33973"/>
  </w:style>
  <w:style w:type="character" w:styleId="Hyperlink">
    <w:name w:val="Hyperlink"/>
    <w:basedOn w:val="DefaultParagraphFont"/>
    <w:uiPriority w:val="99"/>
    <w:unhideWhenUsed/>
    <w:rsid w:val="00D33973"/>
    <w:rPr>
      <w:color w:val="467886" w:themeColor="hyperlink"/>
      <w:u w:val="single"/>
    </w:rPr>
  </w:style>
  <w:style w:type="character" w:styleId="UnresolvedMention">
    <w:name w:val="Unresolved Mention"/>
    <w:basedOn w:val="DefaultParagraphFont"/>
    <w:uiPriority w:val="99"/>
    <w:semiHidden/>
    <w:unhideWhenUsed/>
    <w:rsid w:val="00D33973"/>
    <w:rPr>
      <w:color w:val="605E5C"/>
      <w:shd w:val="clear" w:color="auto" w:fill="E1DFDD"/>
    </w:rPr>
  </w:style>
  <w:style w:type="paragraph" w:styleId="Header">
    <w:name w:val="header"/>
    <w:basedOn w:val="Normal"/>
    <w:link w:val="HeaderChar"/>
    <w:uiPriority w:val="99"/>
    <w:unhideWhenUsed/>
    <w:rsid w:val="00D33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973"/>
  </w:style>
  <w:style w:type="paragraph" w:styleId="Footer">
    <w:name w:val="footer"/>
    <w:basedOn w:val="Normal"/>
    <w:link w:val="FooterChar"/>
    <w:uiPriority w:val="99"/>
    <w:unhideWhenUsed/>
    <w:rsid w:val="00D33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97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61F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mcneese.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2742</Characters>
  <Application>Microsoft Office Word</Application>
  <DocSecurity>0</DocSecurity>
  <Lines>22</Lines>
  <Paragraphs>6</Paragraphs>
  <ScaleCrop>false</ScaleCrop>
  <Company>McNeese State University</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LeJeune</dc:creator>
  <cp:keywords/>
  <dc:description/>
  <cp:lastModifiedBy>Wesley LeJeune</cp:lastModifiedBy>
  <cp:revision>13</cp:revision>
  <dcterms:created xsi:type="dcterms:W3CDTF">2025-11-07T14:13:00Z</dcterms:created>
  <dcterms:modified xsi:type="dcterms:W3CDTF">2025-11-18T17:07:00Z</dcterms:modified>
</cp:coreProperties>
</file>