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5CFE" w14:textId="77777777" w:rsidR="00EB7B34" w:rsidRDefault="00EB7B34">
      <w:pPr>
        <w:rPr>
          <w:rFonts w:ascii="Montserrat" w:eastAsia="Montserrat" w:hAnsi="Montserrat" w:cs="Montserrat"/>
          <w:color w:val="073763"/>
          <w:sz w:val="36"/>
          <w:szCs w:val="36"/>
        </w:rPr>
      </w:pPr>
    </w:p>
    <w:tbl>
      <w:tblPr>
        <w:tblStyle w:val="a"/>
        <w:tblW w:w="13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80"/>
      </w:tblGrid>
      <w:tr w:rsidR="00EB7B34" w14:paraId="49547DE1" w14:textId="77777777">
        <w:trPr>
          <w:jc w:val="center"/>
        </w:trPr>
        <w:tc>
          <w:tcPr>
            <w:tcW w:w="1398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D195" w14:textId="7FFD13E3" w:rsidR="00EA642E" w:rsidRDefault="00EA642E" w:rsidP="00EA642E">
            <w:pPr>
              <w:pStyle w:val="Heading2"/>
              <w:spacing w:before="0" w:after="0" w:line="240" w:lineRule="auto"/>
              <w:ind w:right="-446"/>
              <w:rPr>
                <w:rFonts w:ascii="Montserrat Medium" w:eastAsia="Montserrat Medium" w:hAnsi="Montserrat Medium" w:cs="Montserrat Medium"/>
                <w:color w:val="005487"/>
              </w:rPr>
            </w:pPr>
            <w:bookmarkStart w:id="0" w:name="_mv0rfky785cf" w:colFirst="0" w:colLast="0"/>
            <w:bookmarkEnd w:id="0"/>
            <w:r>
              <w:rPr>
                <w:rFonts w:ascii="Montserrat Medium" w:eastAsia="Montserrat Medium" w:hAnsi="Montserrat Medium" w:cs="Montserrat Medium"/>
                <w:color w:val="005487"/>
              </w:rPr>
              <w:t>Stage 3: Acquiring Evidence of Instructional Practices</w:t>
            </w:r>
          </w:p>
          <w:p w14:paraId="2B9D3705" w14:textId="7FE3492A" w:rsidR="00EB7B34" w:rsidRDefault="00DE0ED2" w:rsidP="00EA642E">
            <w:pPr>
              <w:pStyle w:val="Heading2"/>
              <w:spacing w:before="0" w:after="0" w:line="240" w:lineRule="auto"/>
              <w:ind w:right="-446"/>
              <w:rPr>
                <w:rFonts w:ascii="Montserrat" w:eastAsia="Montserrat" w:hAnsi="Montserrat" w:cs="Montserrat"/>
                <w:color w:val="073763"/>
                <w:sz w:val="36"/>
                <w:szCs w:val="36"/>
              </w:rPr>
            </w:pPr>
            <w:r>
              <w:rPr>
                <w:rFonts w:ascii="Montserrat Medium" w:eastAsia="Montserrat Medium" w:hAnsi="Montserrat Medium" w:cs="Montserrat Medium"/>
                <w:color w:val="005487"/>
              </w:rPr>
              <w:t xml:space="preserve">Task </w:t>
            </w:r>
            <w:r w:rsidR="006D6182">
              <w:rPr>
                <w:rFonts w:ascii="Montserrat Medium" w:eastAsia="Montserrat Medium" w:hAnsi="Montserrat Medium" w:cs="Montserrat Medium"/>
                <w:color w:val="005487"/>
              </w:rPr>
              <w:t>3</w:t>
            </w:r>
            <w:r>
              <w:rPr>
                <w:rFonts w:ascii="Montserrat Medium" w:eastAsia="Montserrat Medium" w:hAnsi="Montserrat Medium" w:cs="Montserrat Medium"/>
                <w:color w:val="005487"/>
              </w:rPr>
              <w:t>: Classroom Environment and Management FEE self-score and reflection</w:t>
            </w:r>
          </w:p>
        </w:tc>
      </w:tr>
    </w:tbl>
    <w:p w14:paraId="496DF585" w14:textId="77777777" w:rsidR="00EB7B34" w:rsidRDefault="00EB7B34"/>
    <w:p w14:paraId="1A70CA22" w14:textId="543D6A9B" w:rsidR="00EB7B34" w:rsidRDefault="00137A8E">
      <w:pPr>
        <w:rPr>
          <w:rFonts w:ascii="Montserrat" w:eastAsia="Montserrat" w:hAnsi="Montserrat" w:cs="Montserrat"/>
          <w:color w:val="444444"/>
          <w:sz w:val="24"/>
          <w:szCs w:val="24"/>
        </w:rPr>
      </w:pPr>
      <w:r>
        <w:rPr>
          <w:rFonts w:ascii="Montserrat" w:eastAsia="Montserrat" w:hAnsi="Montserrat" w:cs="Montserrat"/>
          <w:color w:val="444444"/>
          <w:sz w:val="24"/>
          <w:szCs w:val="24"/>
        </w:rPr>
        <w:t>Using the same video as Stage 3, Task 2, complete</w:t>
      </w:r>
      <w:r w:rsidR="00DE0ED2">
        <w:rPr>
          <w:rFonts w:ascii="Montserrat" w:eastAsia="Montserrat" w:hAnsi="Montserrat" w:cs="Montserrat"/>
          <w:color w:val="444444"/>
          <w:sz w:val="24"/>
          <w:szCs w:val="24"/>
        </w:rPr>
        <w:t xml:space="preserve"> a self-assessment on the Classroom Environment and Management FEE indicators (chart below).  Complete a self-reflection based on the prompts provided.</w:t>
      </w:r>
      <w:r w:rsidR="003F7942">
        <w:rPr>
          <w:rFonts w:ascii="Montserrat" w:eastAsia="Montserrat" w:hAnsi="Montserrat" w:cs="Montserrat"/>
          <w:color w:val="444444"/>
          <w:sz w:val="24"/>
          <w:szCs w:val="24"/>
        </w:rPr>
        <w:t xml:space="preserve"> </w:t>
      </w:r>
    </w:p>
    <w:p w14:paraId="532FAB0D" w14:textId="282F0DDF" w:rsidR="004C73A5" w:rsidRDefault="004C73A5">
      <w:pPr>
        <w:rPr>
          <w:rFonts w:ascii="Montserrat" w:eastAsia="Montserrat" w:hAnsi="Montserrat" w:cs="Montserrat"/>
          <w:color w:val="444444"/>
          <w:sz w:val="24"/>
          <w:szCs w:val="24"/>
        </w:rPr>
      </w:pPr>
    </w:p>
    <w:p w14:paraId="3033F323" w14:textId="468D8066" w:rsidR="004C73A5" w:rsidRPr="004C73A5" w:rsidRDefault="004C73A5">
      <w:pPr>
        <w:rPr>
          <w:b/>
          <w:bCs/>
        </w:rPr>
      </w:pPr>
      <w:r w:rsidRPr="004C73A5">
        <w:rPr>
          <w:rFonts w:ascii="Montserrat" w:eastAsia="Montserrat" w:hAnsi="Montserrat" w:cs="Montserrat"/>
          <w:b/>
          <w:bCs/>
          <w:color w:val="444444"/>
          <w:sz w:val="24"/>
          <w:szCs w:val="24"/>
        </w:rPr>
        <w:t>Task 3a: Classroom environment and management FEE self-score</w:t>
      </w:r>
    </w:p>
    <w:p w14:paraId="74073385" w14:textId="77777777" w:rsidR="00EB7B34" w:rsidRPr="004C73A5" w:rsidRDefault="00EB7B34">
      <w:pPr>
        <w:spacing w:line="288" w:lineRule="auto"/>
        <w:ind w:right="4950"/>
        <w:rPr>
          <w:rFonts w:ascii="Montserrat" w:eastAsia="Montserrat" w:hAnsi="Montserrat" w:cs="Montserrat"/>
          <w:b/>
          <w:bCs/>
          <w:color w:val="444444"/>
        </w:rPr>
      </w:pPr>
    </w:p>
    <w:tbl>
      <w:tblPr>
        <w:tblStyle w:val="a0"/>
        <w:tblW w:w="145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655"/>
        <w:gridCol w:w="2850"/>
        <w:gridCol w:w="2700"/>
        <w:gridCol w:w="3090"/>
        <w:gridCol w:w="1260"/>
      </w:tblGrid>
      <w:tr w:rsidR="00EB7B34" w14:paraId="26620E9E" w14:textId="77777777">
        <w:trPr>
          <w:trHeight w:val="68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5065DC" w14:textId="77777777" w:rsidR="00EB7B34" w:rsidRDefault="00EB7B34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color w:val="444444"/>
                <w:sz w:val="20"/>
                <w:szCs w:val="20"/>
              </w:rPr>
            </w:pPr>
          </w:p>
          <w:p w14:paraId="4E607C2B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b/>
                <w:color w:val="44444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444444"/>
                <w:sz w:val="20"/>
                <w:szCs w:val="20"/>
              </w:rPr>
              <w:t>Domain II:</w:t>
            </w:r>
          </w:p>
          <w:p w14:paraId="66884FE4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44444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4444"/>
                <w:sz w:val="20"/>
                <w:szCs w:val="20"/>
              </w:rPr>
              <w:t>Classroom Environment</w:t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C6D2E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66DC89B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 xml:space="preserve">Ineffective </w:t>
            </w:r>
          </w:p>
          <w:p w14:paraId="0CB58F92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(1)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FFFFF"/>
              <w:bottom w:val="single" w:sz="4" w:space="0" w:color="FFFFFF"/>
              <w:right w:val="nil"/>
            </w:tcBorders>
            <w:shd w:val="clear" w:color="auto" w:fill="C6D2E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517C6D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Effective:  Emerging</w:t>
            </w:r>
          </w:p>
          <w:p w14:paraId="4D1F37C4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(2)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FFFFF"/>
              <w:bottom w:val="single" w:sz="4" w:space="0" w:color="FFFFFF"/>
              <w:right w:val="nil"/>
            </w:tcBorders>
            <w:shd w:val="clear" w:color="auto" w:fill="C6D2E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AB2FB2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Effective:  Proficient</w:t>
            </w:r>
          </w:p>
          <w:p w14:paraId="5F51A32B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(3)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24" w:space="0" w:color="FFFFFF"/>
              <w:bottom w:val="single" w:sz="4" w:space="0" w:color="FFFFFF"/>
              <w:right w:val="nil"/>
            </w:tcBorders>
            <w:shd w:val="clear" w:color="auto" w:fill="C6D2E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ED8ADA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 xml:space="preserve">Highly Effective </w:t>
            </w:r>
          </w:p>
          <w:p w14:paraId="08F4AC0F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(4)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24" w:space="0" w:color="FFFFFF"/>
              <w:bottom w:val="single" w:sz="4" w:space="0" w:color="FFFFFF"/>
              <w:right w:val="nil"/>
            </w:tcBorders>
            <w:shd w:val="clear" w:color="auto" w:fill="C6D2E1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2D796D47" w14:textId="77777777" w:rsidR="00EB7B34" w:rsidRDefault="00DE0ED2">
            <w:pPr>
              <w:spacing w:line="288" w:lineRule="auto"/>
              <w:ind w:left="-120"/>
              <w:jc w:val="center"/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5487"/>
                <w:sz w:val="20"/>
                <w:szCs w:val="20"/>
              </w:rPr>
              <w:t>Rating</w:t>
            </w:r>
          </w:p>
        </w:tc>
      </w:tr>
      <w:tr w:rsidR="00EB7B34" w14:paraId="286D9FCC" w14:textId="77777777" w:rsidTr="004C73A5">
        <w:trPr>
          <w:trHeight w:val="737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1AD7845D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t>2.1.1</w:t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br/>
              <w:t xml:space="preserve">Management </w:t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br/>
              <w:t>of instructional groups</w:t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8FDA9C4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Students not working with the teacher are not productively engaged in learning.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666B712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Students in only some groups are productively engaged in learning while unsupervised by the teacher.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D89F278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Small-group work is well organized, and most students are productively engaged in learning while unsupervised by the teacher.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027E9FE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 xml:space="preserve">Small-group work is well organized, and students </w:t>
            </w:r>
            <w:proofErr w:type="gramStart"/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are productively engaged at all times</w:t>
            </w:r>
            <w:proofErr w:type="gramEnd"/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, with students assuming responsibility for productivity.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6488D9E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77432993" w14:textId="77777777">
        <w:trPr>
          <w:trHeight w:val="128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10980DD5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t>2.1.2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 xml:space="preserve">Management </w:t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br/>
              <w:t>of transitions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4576B1D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Transitions are chaotic, with much time lost between activities or lesson segments.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8B4FCFF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Only some transitions are efficient, resulting in some loss of instructional time.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25A84B9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Transitions occur smoothly, with little loss of instructional time.</w:t>
            </w: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br/>
            </w:r>
          </w:p>
        </w:tc>
        <w:tc>
          <w:tcPr>
            <w:tcW w:w="309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5A28EFE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Transitions are seamless, with students assuming responsibility in ensuring their efficient operation.</w:t>
            </w: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8545B66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418BD90A" w14:textId="77777777">
        <w:trPr>
          <w:trHeight w:val="186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669EDE37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lastRenderedPageBreak/>
              <w:t>2.1.3 (other than 2.1.2)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 xml:space="preserve">Management of materials </w:t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br/>
              <w:t>and supplies</w:t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7BFE0E2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Materials and supplies are handled inefficiently, resulting in significant loss of instructional time.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7233670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Routines for handling materials and supplies function moderately well, but with some loss of instructional time.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CEC35BD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Routines for handling materials and supplies occur smoothly, with little loss of instructional time.</w:t>
            </w:r>
          </w:p>
        </w:tc>
        <w:tc>
          <w:tcPr>
            <w:tcW w:w="309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CD65F56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Routines for handling materials and supplies are seamless, with students assuming some responsibility for smooth operation.</w:t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714519D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5F12B631" w14:textId="77777777">
        <w:trPr>
          <w:trHeight w:val="128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D1228C7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t>2.1.4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Performance of non-instructional duties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CB33376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Considerable instructional time is lost in performing non-instructional duties.</w:t>
            </w: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br/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1C9EF2F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 xml:space="preserve">Systems for performing non-instructional duties are only </w:t>
            </w:r>
            <w:proofErr w:type="gramStart"/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fairly efficient</w:t>
            </w:r>
            <w:proofErr w:type="gramEnd"/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, resulting in some loss of instructional time.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AE9DC8D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Efficient systems for performing non-instructional duties are in place, resulting in minimal loss of instructional time.</w:t>
            </w:r>
          </w:p>
        </w:tc>
        <w:tc>
          <w:tcPr>
            <w:tcW w:w="309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8BEFE71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Systems for performing non-instructional duties are well established, with students assuming considerable responsibility for efficient operation.</w:t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233FA36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0274C19E" w14:textId="77777777">
        <w:trPr>
          <w:trHeight w:val="128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6BE46810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t>2.2.1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Expectations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4792E17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No standards of conduct appear to have been established, or students are confused as to what the standards are.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7EA00FF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Standards of conduct appear to have been established, and most students seem to understand them.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7350BE7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Standards of conduct are clear to all students.</w:t>
            </w:r>
          </w:p>
        </w:tc>
        <w:tc>
          <w:tcPr>
            <w:tcW w:w="309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91691E2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Standards of conduct are clear to all students and appear to have been developed with student participation.</w:t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1E75355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1D6D3C10" w14:textId="77777777">
        <w:trPr>
          <w:trHeight w:val="128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543486CA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t>2.2.2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 xml:space="preserve">Monitoring of </w:t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br/>
              <w:t>student behavior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E23DCA8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Student behavior is not monitored, and teacher is unaware of what the students are doing.</w:t>
            </w: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br/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0D511BE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Teacher is generally aware of student behavior but may miss the activities of some students.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916717A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 xml:space="preserve">Teacher </w:t>
            </w:r>
            <w:proofErr w:type="gramStart"/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is alert to student behavior at all times</w:t>
            </w:r>
            <w:proofErr w:type="gramEnd"/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.</w:t>
            </w:r>
          </w:p>
        </w:tc>
        <w:tc>
          <w:tcPr>
            <w:tcW w:w="309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D0C2BC9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Monitoring by teacher is subtle and preventive. Students monitor their own and their peers’ behavior, correcting one another respectfully.</w:t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F8AF63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71859D79" w14:textId="77777777">
        <w:trPr>
          <w:trHeight w:val="1280"/>
          <w:jc w:val="center"/>
        </w:trPr>
        <w:tc>
          <w:tcPr>
            <w:tcW w:w="20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02A5F627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lastRenderedPageBreak/>
              <w:t>2.2.3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Response to student misbehavior</w:t>
            </w:r>
            <w:r>
              <w:rPr>
                <w:rFonts w:ascii="Montserrat" w:eastAsia="Montserrat" w:hAnsi="Montserrat" w:cs="Montserrat"/>
                <w:b/>
                <w:color w:val="59595C"/>
                <w:sz w:val="16"/>
                <w:szCs w:val="16"/>
              </w:rPr>
              <w:br/>
            </w: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3E0DC75" w14:textId="77777777" w:rsidR="00EB7B34" w:rsidRDefault="00DE0ED2">
            <w:pPr>
              <w:spacing w:line="288" w:lineRule="auto"/>
              <w:ind w:left="-120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Teacher does not respond to misbehavior, or the response is inconsistent, is overly repressive, or does not respect the student’s dignity.</w:t>
            </w:r>
          </w:p>
        </w:tc>
        <w:tc>
          <w:tcPr>
            <w:tcW w:w="285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4" w:space="0" w:color="FFFFFF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4764760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Teacher attempts to respond to student misbehavior but with uneven results, or there are no major infractions of the rules.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89D1AAB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Teacher response to misbehavior is appropriate and successful and respects the student’s dignity, or student behavior is generally appropriate.</w:t>
            </w:r>
          </w:p>
        </w:tc>
        <w:tc>
          <w:tcPr>
            <w:tcW w:w="309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24" w:space="0" w:color="F5F6F7"/>
            </w:tcBorders>
            <w:shd w:val="clear" w:color="auto" w:fill="FCFCFC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E15086F" w14:textId="77777777" w:rsidR="00EB7B34" w:rsidRDefault="00DE0ED2">
            <w:pPr>
              <w:spacing w:line="240" w:lineRule="auto"/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76777A"/>
                <w:sz w:val="16"/>
                <w:szCs w:val="16"/>
              </w:rPr>
              <w:t>Teacher response to misbehavior is highly effective and sensitive to students’ individual needs, or student behavior is entirely appropriate.</w:t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7F15CE6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  <w:tr w:rsidR="00EB7B34" w14:paraId="63026031" w14:textId="77777777">
        <w:trPr>
          <w:trHeight w:val="1280"/>
          <w:jc w:val="center"/>
        </w:trPr>
        <w:tc>
          <w:tcPr>
            <w:tcW w:w="13305" w:type="dxa"/>
            <w:gridSpan w:val="5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62AF7C0" w14:textId="77777777" w:rsidR="00EB7B34" w:rsidRDefault="00DE0ED2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Domain Average Rating</w:t>
            </w:r>
          </w:p>
          <w:p w14:paraId="1B56F797" w14:textId="5625EB70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Submit evidence from video with time stamp for each score earned.</w:t>
            </w:r>
          </w:p>
          <w:p w14:paraId="2E3FF10E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45EA6E5A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EVIDENCE for 2.1.1:</w:t>
            </w:r>
          </w:p>
          <w:p w14:paraId="6505293A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7704A9EC" w14:textId="2FFE1A36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EVIDENCE for 2.1.2:</w:t>
            </w:r>
          </w:p>
          <w:p w14:paraId="21943EAB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6F25EFD3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 xml:space="preserve">EVIDENCE for 2.1.3: </w:t>
            </w:r>
          </w:p>
          <w:p w14:paraId="381FC5E5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72BAC2CF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EVIDENCE for 2.1.4:</w:t>
            </w:r>
          </w:p>
          <w:p w14:paraId="36FF20CE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216B067B" w14:textId="54F755FA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EVIDENCE for 2.2.1:</w:t>
            </w:r>
          </w:p>
          <w:p w14:paraId="4F5CC122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28BA2A72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 xml:space="preserve">EVIDENCE for 2.2.2: </w:t>
            </w:r>
          </w:p>
          <w:p w14:paraId="260DCE43" w14:textId="77777777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</w:p>
          <w:p w14:paraId="2DF71475" w14:textId="15E6FA0D" w:rsidR="002B0C56" w:rsidRDefault="002B0C56">
            <w:pPr>
              <w:spacing w:line="288" w:lineRule="auto"/>
              <w:ind w:left="-120"/>
              <w:jc w:val="right"/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59595C"/>
                <w:sz w:val="16"/>
                <w:szCs w:val="16"/>
              </w:rPr>
              <w:t>EVIDENCE for 2.2.3:</w:t>
            </w:r>
          </w:p>
        </w:tc>
        <w:tc>
          <w:tcPr>
            <w:tcW w:w="1260" w:type="dxa"/>
            <w:tcBorders>
              <w:top w:val="single" w:sz="24" w:space="0" w:color="F5F6F7"/>
              <w:left w:val="single" w:sz="24" w:space="0" w:color="F5F6F7"/>
              <w:bottom w:val="single" w:sz="24" w:space="0" w:color="F5F6F7"/>
              <w:right w:val="single" w:sz="4" w:space="0" w:color="F5F6F7"/>
            </w:tcBorders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AD89CC0" w14:textId="77777777" w:rsidR="00EB7B34" w:rsidRDefault="00EB7B34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76777A"/>
                <w:sz w:val="20"/>
                <w:szCs w:val="20"/>
              </w:rPr>
            </w:pPr>
          </w:p>
        </w:tc>
      </w:tr>
    </w:tbl>
    <w:p w14:paraId="6D312E1C" w14:textId="77777777" w:rsidR="00EB7B34" w:rsidRDefault="00EB7B34">
      <w:pPr>
        <w:pStyle w:val="Heading3"/>
        <w:spacing w:line="288" w:lineRule="auto"/>
        <w:rPr>
          <w:rFonts w:ascii="Montserrat" w:eastAsia="Montserrat" w:hAnsi="Montserrat" w:cs="Montserrat"/>
          <w:b/>
          <w:color w:val="76777A"/>
        </w:rPr>
      </w:pPr>
      <w:bookmarkStart w:id="1" w:name="_ompj5mtci6g5" w:colFirst="0" w:colLast="0"/>
      <w:bookmarkEnd w:id="1"/>
    </w:p>
    <w:p w14:paraId="12C2E11C" w14:textId="72E95009" w:rsidR="00EB7B34" w:rsidRDefault="00EB7B34"/>
    <w:p w14:paraId="7BB058FC" w14:textId="3752B528" w:rsidR="0029717F" w:rsidRDefault="0029717F"/>
    <w:p w14:paraId="7AFC91E0" w14:textId="4675301E" w:rsidR="0029717F" w:rsidRDefault="0029717F"/>
    <w:p w14:paraId="18C3BE8D" w14:textId="2871DDEC" w:rsidR="0029717F" w:rsidRDefault="0029717F"/>
    <w:p w14:paraId="335B7124" w14:textId="561033B7" w:rsidR="0029717F" w:rsidRDefault="0029717F"/>
    <w:p w14:paraId="469CD1D1" w14:textId="092A0CB4" w:rsidR="0029717F" w:rsidRDefault="0029717F"/>
    <w:p w14:paraId="2D361DB3" w14:textId="101E1A5F" w:rsidR="0029717F" w:rsidRDefault="0029717F"/>
    <w:p w14:paraId="6DE666C8" w14:textId="5B9E6187" w:rsidR="0029717F" w:rsidRDefault="0029717F"/>
    <w:p w14:paraId="6610527B" w14:textId="1B391BBE" w:rsidR="004C73A5" w:rsidRDefault="004C73A5"/>
    <w:p w14:paraId="78EA0071" w14:textId="0ED509E0" w:rsidR="004C73A5" w:rsidRDefault="004C73A5">
      <w:r>
        <w:lastRenderedPageBreak/>
        <w:t>Task 3b: Classroom Environment and Management FEE reflection</w:t>
      </w:r>
    </w:p>
    <w:tbl>
      <w:tblPr>
        <w:tblStyle w:val="a1"/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490"/>
      </w:tblGrid>
      <w:tr w:rsidR="00EB7B34" w14:paraId="6D638098" w14:textId="77777777" w:rsidTr="004C73A5">
        <w:trPr>
          <w:trHeight w:val="680"/>
          <w:jc w:val="center"/>
        </w:trPr>
        <w:tc>
          <w:tcPr>
            <w:tcW w:w="14490" w:type="dxa"/>
            <w:shd w:val="clear" w:color="auto" w:fill="00548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42A93D" w14:textId="77777777" w:rsidR="00EB7B34" w:rsidRDefault="00DE0ED2" w:rsidP="004C73A5">
            <w:pPr>
              <w:spacing w:line="288" w:lineRule="auto"/>
              <w:ind w:left="-120" w:right="-179"/>
              <w:jc w:val="center"/>
              <w:rPr>
                <w:rFonts w:ascii="Montserrat" w:eastAsia="Montserrat" w:hAnsi="Montserrat" w:cs="Montserrat"/>
                <w:b/>
                <w:color w:val="FFFF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FFFF00"/>
                <w:sz w:val="24"/>
                <w:szCs w:val="24"/>
              </w:rPr>
              <w:t>Respond to the prompts below.</w:t>
            </w:r>
          </w:p>
        </w:tc>
      </w:tr>
      <w:tr w:rsidR="00EB7B34" w14:paraId="1C99AAC3" w14:textId="77777777" w:rsidTr="004C73A5">
        <w:trPr>
          <w:trHeight w:val="1007"/>
          <w:jc w:val="center"/>
        </w:trPr>
        <w:tc>
          <w:tcPr>
            <w:tcW w:w="1449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1D493597" w14:textId="12C2488C" w:rsidR="00EB7B34" w:rsidRDefault="00DE0ED2" w:rsidP="004C73A5">
            <w:pPr>
              <w:spacing w:line="288" w:lineRule="auto"/>
              <w:ind w:left="-120" w:right="-179"/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Identify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one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indicator, from the Classroom Environment and Management Domain of the FEE rubric (above), which you think was an area of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reinforcemen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t (strength).  Provide a rationale that explains what you did to demonstrate a strength in the indicator and the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impact it had on student learning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. 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Cite example</w:t>
            </w:r>
            <w:r w:rsidR="00EA642E"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(s)</w:t>
            </w:r>
            <w:r w:rsidR="00EA642E"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>from the video</w:t>
            </w:r>
            <w:r w:rsidR="00EA642E"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with time stamp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to support your reflection.</w:t>
            </w:r>
          </w:p>
        </w:tc>
      </w:tr>
      <w:tr w:rsidR="00EB7B34" w14:paraId="73BFDA57" w14:textId="77777777" w:rsidTr="004C73A5">
        <w:trPr>
          <w:trHeight w:val="980"/>
          <w:jc w:val="center"/>
        </w:trPr>
        <w:tc>
          <w:tcPr>
            <w:tcW w:w="1449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4E38CA90" w14:textId="77777777" w:rsidR="00EB7B34" w:rsidRDefault="00EB7B34" w:rsidP="004C73A5">
            <w:pPr>
              <w:spacing w:line="288" w:lineRule="auto"/>
              <w:ind w:right="-179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</w:tc>
      </w:tr>
      <w:tr w:rsidR="00EB7B34" w14:paraId="799D07C6" w14:textId="77777777" w:rsidTr="004C73A5">
        <w:trPr>
          <w:trHeight w:val="940"/>
          <w:jc w:val="center"/>
        </w:trPr>
        <w:tc>
          <w:tcPr>
            <w:tcW w:w="1449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22282841" w14:textId="58E7C6E3" w:rsidR="00EB7B34" w:rsidRDefault="00DE0ED2" w:rsidP="004C73A5">
            <w:pPr>
              <w:spacing w:line="288" w:lineRule="auto"/>
              <w:ind w:left="-120" w:right="-179"/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Identify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one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indicator, from the Classroom Environment and Management Domain of the FEE rubric (above), which you think was an area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of refinement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(area for improvement).  Provide a rationale that explains your practice requiring improvement and the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impact it had on student learning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. 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Cite example</w:t>
            </w:r>
            <w:r w:rsidR="00EA642E"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(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s</w:t>
            </w:r>
            <w:r w:rsidR="00EA642E"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)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from the video to support your reflection.</w:t>
            </w:r>
          </w:p>
        </w:tc>
      </w:tr>
      <w:tr w:rsidR="00EB7B34" w14:paraId="6F0C2DA6" w14:textId="77777777" w:rsidTr="004C73A5">
        <w:trPr>
          <w:trHeight w:val="935"/>
          <w:jc w:val="center"/>
        </w:trPr>
        <w:tc>
          <w:tcPr>
            <w:tcW w:w="1449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18401FAF" w14:textId="77777777" w:rsidR="00EB7B34" w:rsidRDefault="00EB7B34" w:rsidP="004C73A5">
            <w:pPr>
              <w:spacing w:line="288" w:lineRule="auto"/>
              <w:ind w:right="-179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</w:tc>
      </w:tr>
      <w:tr w:rsidR="00EB7B34" w14:paraId="57C5A3BA" w14:textId="77777777" w:rsidTr="004C73A5">
        <w:trPr>
          <w:trHeight w:val="940"/>
          <w:jc w:val="center"/>
        </w:trPr>
        <w:tc>
          <w:tcPr>
            <w:tcW w:w="1449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41403888" w14:textId="77777777" w:rsidR="00EB7B34" w:rsidRDefault="00DE0ED2" w:rsidP="004C73A5">
            <w:pPr>
              <w:spacing w:line="288" w:lineRule="auto"/>
              <w:ind w:left="-120" w:right="-179"/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Based on the Classroom Environment and Management Domain FEE indicator you identified as your area of refinement (needing improvement), explain the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actionable next steps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 you can take to improve your practices in Classroom Environment and Management.  Provide a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 xml:space="preserve">rationale </w:t>
            </w:r>
            <w:r>
              <w:rPr>
                <w:rFonts w:ascii="Montserrat" w:eastAsia="Montserrat" w:hAnsi="Montserrat" w:cs="Montserrat"/>
                <w:b/>
                <w:color w:val="59595C"/>
                <w:sz w:val="20"/>
                <w:szCs w:val="20"/>
              </w:rPr>
              <w:t xml:space="preserve">for how these actionable next steps will lead to </w:t>
            </w:r>
            <w:r w:rsidRPr="00EA642E">
              <w:rPr>
                <w:rFonts w:ascii="Montserrat" w:eastAsia="Montserrat" w:hAnsi="Montserrat" w:cs="Montserrat"/>
                <w:b/>
                <w:i/>
                <w:iCs/>
                <w:color w:val="59595C"/>
                <w:sz w:val="20"/>
                <w:szCs w:val="20"/>
                <w:u w:val="single"/>
              </w:rPr>
              <w:t>increased student achievement.</w:t>
            </w:r>
          </w:p>
        </w:tc>
      </w:tr>
      <w:tr w:rsidR="00EB7B34" w14:paraId="792EAC48" w14:textId="77777777" w:rsidTr="004C73A5">
        <w:trPr>
          <w:trHeight w:val="940"/>
          <w:jc w:val="center"/>
        </w:trPr>
        <w:tc>
          <w:tcPr>
            <w:tcW w:w="14490" w:type="dxa"/>
            <w:shd w:val="clear" w:color="auto" w:fill="F5F6F7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</w:tcPr>
          <w:p w14:paraId="54270D1B" w14:textId="77777777" w:rsidR="00EB7B34" w:rsidRDefault="00EB7B34" w:rsidP="004C73A5">
            <w:pPr>
              <w:spacing w:line="288" w:lineRule="auto"/>
              <w:ind w:right="-179"/>
              <w:rPr>
                <w:rFonts w:ascii="Montserrat" w:eastAsia="Montserrat" w:hAnsi="Montserrat" w:cs="Montserrat"/>
                <w:color w:val="59595C"/>
                <w:sz w:val="20"/>
                <w:szCs w:val="20"/>
              </w:rPr>
            </w:pPr>
          </w:p>
        </w:tc>
      </w:tr>
    </w:tbl>
    <w:p w14:paraId="0E944071" w14:textId="77777777" w:rsidR="00EB7B34" w:rsidRDefault="00EB7B34">
      <w:pPr>
        <w:pStyle w:val="Heading3"/>
        <w:spacing w:line="288" w:lineRule="auto"/>
        <w:ind w:right="90"/>
      </w:pPr>
      <w:bookmarkStart w:id="2" w:name="_vwxad4jtmxkn" w:colFirst="0" w:colLast="0"/>
      <w:bookmarkEnd w:id="2"/>
    </w:p>
    <w:sectPr w:rsidR="00EB7B34">
      <w:footerReference w:type="default" r:id="rId6"/>
      <w:pgSz w:w="15840" w:h="12240"/>
      <w:pgMar w:top="1080" w:right="720" w:bottom="10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F189" w14:textId="77777777" w:rsidR="00B96DD4" w:rsidRDefault="00B96DD4">
      <w:pPr>
        <w:spacing w:line="240" w:lineRule="auto"/>
      </w:pPr>
      <w:r>
        <w:separator/>
      </w:r>
    </w:p>
  </w:endnote>
  <w:endnote w:type="continuationSeparator" w:id="0">
    <w:p w14:paraId="7F5B7A98" w14:textId="77777777" w:rsidR="00B96DD4" w:rsidRDefault="00B96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7C52" w14:textId="77777777" w:rsidR="00EB7B34" w:rsidRDefault="00DE0ED2">
    <w:pPr>
      <w:widowControl w:val="0"/>
      <w:spacing w:line="240" w:lineRule="auto"/>
    </w:pPr>
    <w:r>
      <w:rPr>
        <w:rFonts w:ascii="Montserrat" w:eastAsia="Montserrat" w:hAnsi="Montserrat" w:cs="Montserrat"/>
        <w:b/>
        <w:color w:val="005487"/>
        <w:sz w:val="18"/>
        <w:szCs w:val="18"/>
      </w:rPr>
      <w:t>McNeese • Senior Year Residency Portfolio Stage 3, Task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74F1" w14:textId="77777777" w:rsidR="00B96DD4" w:rsidRDefault="00B96DD4">
      <w:pPr>
        <w:spacing w:line="240" w:lineRule="auto"/>
      </w:pPr>
      <w:r>
        <w:separator/>
      </w:r>
    </w:p>
  </w:footnote>
  <w:footnote w:type="continuationSeparator" w:id="0">
    <w:p w14:paraId="3E1F94B9" w14:textId="77777777" w:rsidR="00B96DD4" w:rsidRDefault="00B96D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34"/>
    <w:rsid w:val="00115FB1"/>
    <w:rsid w:val="00137A8E"/>
    <w:rsid w:val="0029717F"/>
    <w:rsid w:val="002B0C56"/>
    <w:rsid w:val="003F7942"/>
    <w:rsid w:val="004C73A5"/>
    <w:rsid w:val="006D6182"/>
    <w:rsid w:val="007540E6"/>
    <w:rsid w:val="00B96DD4"/>
    <w:rsid w:val="00DE0ED2"/>
    <w:rsid w:val="00EA642E"/>
    <w:rsid w:val="00E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2638"/>
  <w15:docId w15:val="{FBFE6C37-DA1D-4A41-A6D1-377306C8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Angelique Ogea</cp:lastModifiedBy>
  <cp:revision>6</cp:revision>
  <dcterms:created xsi:type="dcterms:W3CDTF">2019-10-20T22:44:00Z</dcterms:created>
  <dcterms:modified xsi:type="dcterms:W3CDTF">2020-08-13T17:04:00Z</dcterms:modified>
</cp:coreProperties>
</file>