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6E7E90" w14:paraId="7722C6A7" w14:textId="77777777">
        <w:trPr>
          <w:jc w:val="center"/>
        </w:trPr>
        <w:tc>
          <w:tcPr>
            <w:tcW w:w="105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DB64" w14:textId="77777777" w:rsidR="005F5F72" w:rsidRDefault="005F5F72" w:rsidP="005F5F72">
            <w:pPr>
              <w:pStyle w:val="Heading2"/>
              <w:spacing w:before="0" w:after="0" w:line="240" w:lineRule="auto"/>
              <w:ind w:right="-446"/>
              <w:rPr>
                <w:rFonts w:ascii="Montserrat Medium" w:eastAsia="Montserrat Medium" w:hAnsi="Montserrat Medium" w:cs="Montserrat Medium"/>
                <w:color w:val="005487"/>
              </w:rPr>
            </w:pPr>
            <w:bookmarkStart w:id="0" w:name="_mv0rfky785cf" w:colFirst="0" w:colLast="0"/>
            <w:bookmarkEnd w:id="0"/>
            <w:r>
              <w:rPr>
                <w:rFonts w:ascii="Montserrat Medium" w:eastAsia="Montserrat Medium" w:hAnsi="Montserrat Medium" w:cs="Montserrat Medium"/>
                <w:color w:val="005487"/>
              </w:rPr>
              <w:t>Stage 1: Relevance and Rationale</w:t>
            </w:r>
          </w:p>
          <w:p w14:paraId="76495A86" w14:textId="77777777" w:rsidR="006E7E90" w:rsidRDefault="00603C84" w:rsidP="005F5F72">
            <w:pPr>
              <w:pStyle w:val="Heading2"/>
              <w:spacing w:before="0" w:after="0" w:line="240" w:lineRule="auto"/>
              <w:ind w:right="-446"/>
              <w:rPr>
                <w:rFonts w:ascii="Montserrat" w:eastAsia="Montserrat" w:hAnsi="Montserrat" w:cs="Montserrat"/>
                <w:color w:val="073763"/>
                <w:sz w:val="36"/>
                <w:szCs w:val="36"/>
              </w:rPr>
            </w:pPr>
            <w:r>
              <w:rPr>
                <w:rFonts w:ascii="Montserrat Medium" w:eastAsia="Montserrat Medium" w:hAnsi="Montserrat Medium" w:cs="Montserrat Medium"/>
                <w:color w:val="005487"/>
              </w:rPr>
              <w:t>Task 2: Potential Implications Chart</w:t>
            </w:r>
          </w:p>
        </w:tc>
      </w:tr>
    </w:tbl>
    <w:p w14:paraId="0C2BFE2A" w14:textId="77777777" w:rsidR="006E7E90" w:rsidRDefault="006E7E90">
      <w:pPr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0EC250BA" w14:textId="77926DED" w:rsidR="006E7E90" w:rsidRDefault="00603C84">
      <w:pPr>
        <w:ind w:left="-450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eastAsia="Montserrat" w:hAnsi="Montserrat" w:cs="Montserrat"/>
          <w:color w:val="666666"/>
          <w:sz w:val="24"/>
          <w:szCs w:val="24"/>
        </w:rPr>
        <w:t xml:space="preserve">Based on </w:t>
      </w:r>
      <w:r w:rsidR="00DB4AD1">
        <w:rPr>
          <w:rFonts w:ascii="Montserrat" w:eastAsia="Montserrat" w:hAnsi="Montserrat" w:cs="Montserrat"/>
          <w:color w:val="666666"/>
          <w:sz w:val="24"/>
          <w:szCs w:val="24"/>
        </w:rPr>
        <w:t>the information gathered</w:t>
      </w:r>
      <w:r>
        <w:rPr>
          <w:rFonts w:ascii="Montserrat" w:eastAsia="Montserrat" w:hAnsi="Montserrat" w:cs="Montserrat"/>
          <w:color w:val="666666"/>
          <w:sz w:val="24"/>
          <w:szCs w:val="24"/>
        </w:rPr>
        <w:t xml:space="preserve"> from Task 1</w:t>
      </w:r>
      <w:r w:rsidR="00DB4AD1">
        <w:rPr>
          <w:rFonts w:ascii="Montserrat" w:eastAsia="Montserrat" w:hAnsi="Montserrat" w:cs="Montserrat"/>
          <w:color w:val="666666"/>
          <w:sz w:val="24"/>
          <w:szCs w:val="24"/>
        </w:rPr>
        <w:t xml:space="preserve"> artifacts</w:t>
      </w:r>
      <w:r>
        <w:rPr>
          <w:rFonts w:ascii="Montserrat" w:eastAsia="Montserrat" w:hAnsi="Montserrat" w:cs="Montserrat"/>
          <w:color w:val="666666"/>
          <w:sz w:val="24"/>
          <w:szCs w:val="24"/>
        </w:rPr>
        <w:t>, complete the following chart to develop an understanding of the potential implications for instruction, student learning, an</w:t>
      </w:r>
      <w:r w:rsidR="00B81D1A">
        <w:rPr>
          <w:rFonts w:ascii="Montserrat" w:eastAsia="Montserrat" w:hAnsi="Montserrat" w:cs="Montserrat"/>
          <w:color w:val="666666"/>
          <w:sz w:val="24"/>
          <w:szCs w:val="24"/>
        </w:rPr>
        <w:t xml:space="preserve">d/or the learning environment </w:t>
      </w:r>
      <w:r w:rsidR="00DB4AD1">
        <w:rPr>
          <w:rFonts w:ascii="Montserrat" w:eastAsia="Montserrat" w:hAnsi="Montserrat" w:cs="Montserrat"/>
          <w:color w:val="666666"/>
          <w:sz w:val="24"/>
          <w:szCs w:val="24"/>
        </w:rPr>
        <w:t>for</w:t>
      </w:r>
      <w:r w:rsidR="00B81D1A">
        <w:rPr>
          <w:rFonts w:ascii="Montserrat" w:eastAsia="Montserrat" w:hAnsi="Montserrat" w:cs="Montserrat"/>
          <w:color w:val="666666"/>
          <w:sz w:val="24"/>
          <w:szCs w:val="24"/>
        </w:rPr>
        <w:t xml:space="preserve"> each </w:t>
      </w:r>
      <w:r w:rsidR="00DB4AD1">
        <w:rPr>
          <w:rFonts w:ascii="Montserrat" w:eastAsia="Montserrat" w:hAnsi="Montserrat" w:cs="Montserrat"/>
          <w:color w:val="666666"/>
          <w:sz w:val="24"/>
          <w:szCs w:val="24"/>
        </w:rPr>
        <w:t>school</w:t>
      </w:r>
      <w:r w:rsidR="00B81D1A">
        <w:rPr>
          <w:rFonts w:ascii="Montserrat" w:eastAsia="Montserrat" w:hAnsi="Montserrat" w:cs="Montserrat"/>
          <w:color w:val="666666"/>
          <w:sz w:val="24"/>
          <w:szCs w:val="24"/>
        </w:rPr>
        <w:t xml:space="preserve"> contextual factor.</w:t>
      </w:r>
      <w:r w:rsidR="00354EB3">
        <w:rPr>
          <w:rFonts w:ascii="Montserrat" w:eastAsia="Montserrat" w:hAnsi="Montserrat" w:cs="Montserrat"/>
          <w:color w:val="666666"/>
          <w:sz w:val="24"/>
          <w:szCs w:val="24"/>
        </w:rPr>
        <w:t xml:space="preserve"> </w:t>
      </w:r>
    </w:p>
    <w:p w14:paraId="4F9F9D47" w14:textId="77777777" w:rsidR="006E7E90" w:rsidRDefault="006E7E90">
      <w:pPr>
        <w:spacing w:line="288" w:lineRule="auto"/>
        <w:rPr>
          <w:rFonts w:ascii="Montserrat" w:eastAsia="Montserrat" w:hAnsi="Montserrat" w:cs="Montserrat"/>
          <w:color w:val="444444"/>
          <w:sz w:val="20"/>
          <w:szCs w:val="20"/>
        </w:rPr>
      </w:pPr>
    </w:p>
    <w:tbl>
      <w:tblPr>
        <w:tblStyle w:val="a0"/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1117"/>
        <w:gridCol w:w="3074"/>
        <w:gridCol w:w="558"/>
        <w:gridCol w:w="3633"/>
      </w:tblGrid>
      <w:tr w:rsidR="006E7E90" w14:paraId="4DADD3D6" w14:textId="77777777" w:rsidTr="00931AD0">
        <w:trPr>
          <w:trHeight w:val="680"/>
          <w:jc w:val="center"/>
        </w:trPr>
        <w:tc>
          <w:tcPr>
            <w:tcW w:w="251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617EFD" w14:textId="148689D6" w:rsidR="006E7E90" w:rsidRPr="004F4BB7" w:rsidRDefault="00DB4AD1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b/>
                <w:color w:val="666666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School </w:t>
            </w:r>
            <w:r w:rsidR="00603C84" w:rsidRPr="004F4BB7">
              <w:rPr>
                <w:rFonts w:ascii="Montserrat" w:eastAsia="Montserrat" w:hAnsi="Montserrat" w:cs="Montserrat"/>
                <w:b/>
                <w:sz w:val="20"/>
                <w:szCs w:val="20"/>
              </w:rPr>
              <w:t>Contextual Factor</w:t>
            </w:r>
          </w:p>
        </w:tc>
        <w:tc>
          <w:tcPr>
            <w:tcW w:w="4191" w:type="dxa"/>
            <w:gridSpan w:val="2"/>
            <w:shd w:val="clear" w:color="auto" w:fill="005487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6C5193B6" w14:textId="77777777" w:rsidR="00CC2500" w:rsidRPr="00CC2500" w:rsidRDefault="00CC2500" w:rsidP="00CD09AC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</w:pPr>
            <w:r w:rsidRPr="00CC2500"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  <w:t xml:space="preserve">Synopsis </w:t>
            </w:r>
            <w:r w:rsidR="006E3C71"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  <w:t>Supported with Data</w:t>
            </w:r>
          </w:p>
          <w:p w14:paraId="109CAB3A" w14:textId="4AD70C7C" w:rsidR="006E3C71" w:rsidRDefault="006E3C71" w:rsidP="00CD09AC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Give a synopsis of one or two facts supported with data from the artifact. </w:t>
            </w:r>
          </w:p>
          <w:p w14:paraId="65617828" w14:textId="77777777" w:rsidR="006E7E90" w:rsidRDefault="00603C84" w:rsidP="00CD09AC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  <w:br/>
            </w:r>
          </w:p>
        </w:tc>
        <w:tc>
          <w:tcPr>
            <w:tcW w:w="4191" w:type="dxa"/>
            <w:gridSpan w:val="2"/>
            <w:shd w:val="clear" w:color="auto" w:fill="005487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674B7730" w14:textId="77777777" w:rsidR="006E7E90" w:rsidRDefault="00CC2500" w:rsidP="00CC2500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  <w:t xml:space="preserve">Potential </w:t>
            </w:r>
            <w:r w:rsidR="006E3C71"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  <w:t xml:space="preserve">Implications </w:t>
            </w:r>
            <w:r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  <w:t xml:space="preserve">and </w:t>
            </w:r>
            <w:r w:rsidR="00603C84">
              <w:rPr>
                <w:rFonts w:ascii="Montserrat" w:eastAsia="Montserrat" w:hAnsi="Montserrat" w:cs="Montserrat"/>
                <w:b/>
                <w:color w:val="FFFF00"/>
                <w:sz w:val="20"/>
                <w:szCs w:val="20"/>
              </w:rPr>
              <w:t>Rationale</w:t>
            </w:r>
          </w:p>
          <w:p w14:paraId="69A1FBE9" w14:textId="648BD847" w:rsidR="00931AD0" w:rsidRDefault="00931AD0" w:rsidP="006E3C71">
            <w:pPr>
              <w:pStyle w:val="ListParagraph"/>
              <w:numPr>
                <w:ilvl w:val="0"/>
                <w:numId w:val="3"/>
              </w:numPr>
              <w:spacing w:line="288" w:lineRule="auto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From your synopsis, identify which </w:t>
            </w:r>
            <w:r w:rsidR="00AC59AF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component might be </w:t>
            </w:r>
            <w:r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impacted:  </w:t>
            </w:r>
          </w:p>
          <w:p w14:paraId="5528526A" w14:textId="44C594F8" w:rsidR="006E3C71" w:rsidRDefault="006E3C71" w:rsidP="00931AD0">
            <w:pPr>
              <w:pStyle w:val="ListParagraph"/>
              <w:spacing w:line="288" w:lineRule="auto"/>
              <w:ind w:left="240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 w:rsidRPr="006E3C71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Instruction (I), Student Learning (SL), </w:t>
            </w:r>
            <w:r w:rsidR="00931AD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and/</w:t>
            </w:r>
            <w:r w:rsidRPr="006E3C71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or the Learning Environment (LE). </w:t>
            </w:r>
          </w:p>
          <w:p w14:paraId="06EE8E85" w14:textId="71091CA4" w:rsidR="006E7E90" w:rsidRDefault="006E3C71" w:rsidP="006E3C71">
            <w:pPr>
              <w:pStyle w:val="ListParagraph"/>
              <w:numPr>
                <w:ilvl w:val="0"/>
                <w:numId w:val="3"/>
              </w:numPr>
              <w:spacing w:line="288" w:lineRule="auto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 w:rsidRPr="006E3C71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 </w:t>
            </w:r>
            <w:r w:rsidR="00931AD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What might the potential implications be as it pertains to this group of students?</w:t>
            </w:r>
          </w:p>
          <w:p w14:paraId="08DE27E9" w14:textId="77777777" w:rsidR="006E3C71" w:rsidRPr="006E3C71" w:rsidRDefault="006E3C71" w:rsidP="006E3C71">
            <w:pPr>
              <w:pStyle w:val="ListParagraph"/>
              <w:numPr>
                <w:ilvl w:val="0"/>
                <w:numId w:val="3"/>
              </w:numPr>
              <w:spacing w:line="288" w:lineRule="auto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Support your thinking using research.</w:t>
            </w:r>
          </w:p>
        </w:tc>
      </w:tr>
      <w:tr w:rsidR="00CD09AC" w14:paraId="66E7325C" w14:textId="77777777" w:rsidTr="00931AD0">
        <w:trPr>
          <w:trHeight w:val="680"/>
          <w:jc w:val="center"/>
        </w:trPr>
        <w:tc>
          <w:tcPr>
            <w:tcW w:w="251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A48971" w14:textId="77777777" w:rsidR="00CD09AC" w:rsidRDefault="00CD09AC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Example:</w:t>
            </w:r>
          </w:p>
          <w:p w14:paraId="63397F94" w14:textId="77777777" w:rsidR="00CD09AC" w:rsidRPr="004F4BB7" w:rsidRDefault="00CD09AC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Community Mapping</w:t>
            </w:r>
          </w:p>
        </w:tc>
        <w:tc>
          <w:tcPr>
            <w:tcW w:w="4191" w:type="dxa"/>
            <w:gridSpan w:val="2"/>
            <w:shd w:val="clear" w:color="auto" w:fill="005487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465947C6" w14:textId="7BE48527" w:rsidR="00CD09AC" w:rsidRPr="00CC2500" w:rsidRDefault="00CD09AC" w:rsidP="00DB4AD1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 w:rsidRPr="00CC250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There is a high number of abandoned buildings in the neighborhood</w:t>
            </w:r>
            <w:r w:rsidR="00CC250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 (total of 30)</w:t>
            </w:r>
            <w:r w:rsidR="00DB4AD1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 within a .5 radius of the school</w:t>
            </w:r>
            <w:r w:rsidR="00CC250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.</w:t>
            </w:r>
            <w:r w:rsidRPr="00CC250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 </w:t>
            </w:r>
            <w:r w:rsidR="00DB4AD1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This fact led me to research the crime rate in</w:t>
            </w:r>
            <w:r w:rsidR="00931AD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 the</w:t>
            </w:r>
            <w:r w:rsidR="00DB4AD1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 community which is reported to be 72% </w:t>
            </w:r>
          </w:p>
        </w:tc>
        <w:tc>
          <w:tcPr>
            <w:tcW w:w="4191" w:type="dxa"/>
            <w:gridSpan w:val="2"/>
            <w:shd w:val="clear" w:color="auto" w:fill="005487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14:paraId="72ABBD70" w14:textId="77777777" w:rsidR="00CD09AC" w:rsidRDefault="00CD09AC" w:rsidP="00CD09AC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 w:rsidRPr="00CC250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Because there is a high crime rate, students may not feel safe</w:t>
            </w:r>
            <w:r w:rsidR="00931AD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 (LE)</w:t>
            </w:r>
            <w:r w:rsidRPr="00CC250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 xml:space="preserve">. According to Maslow’s Hierarchy of Needs, Safety Needs </w:t>
            </w:r>
            <w:r w:rsidR="00931AD0"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falls within the category of Basic Needs. As Physiological and Safety Needs are met, motivation increases (SL).</w:t>
            </w:r>
          </w:p>
          <w:p w14:paraId="6A234A53" w14:textId="2365B0ED" w:rsidR="00931AD0" w:rsidRPr="00931AD0" w:rsidRDefault="00931AD0" w:rsidP="00931AD0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00"/>
                <w:sz w:val="20"/>
                <w:szCs w:val="20"/>
              </w:rPr>
              <w:t>*Reference at end of chart.</w:t>
            </w:r>
          </w:p>
        </w:tc>
      </w:tr>
      <w:tr w:rsidR="006E7E90" w14:paraId="54466E33" w14:textId="77777777" w:rsidTr="00931AD0">
        <w:trPr>
          <w:trHeight w:val="1280"/>
          <w:jc w:val="center"/>
        </w:trPr>
        <w:tc>
          <w:tcPr>
            <w:tcW w:w="2515" w:type="dxa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4E83D5F4" w14:textId="77777777" w:rsidR="004F4BB7" w:rsidRPr="00EA23C5" w:rsidRDefault="004F4BB7" w:rsidP="00EA23C5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EA23C5">
              <w:rPr>
                <w:rFonts w:eastAsia="Montserrat"/>
                <w:b/>
                <w:color w:val="59595C"/>
                <w:sz w:val="20"/>
                <w:szCs w:val="20"/>
              </w:rPr>
              <w:t>Community</w:t>
            </w:r>
          </w:p>
          <w:p w14:paraId="32B3C603" w14:textId="77777777" w:rsidR="006E7E90" w:rsidRP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>Community Mapping</w:t>
            </w:r>
            <w:r w:rsidRPr="004F4BB7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C028CC" w14:textId="77777777" w:rsidR="006E7E90" w:rsidRDefault="006E7E9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4191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7E9ED6E" w14:textId="77777777" w:rsidR="006E7E90" w:rsidRDefault="006E7E9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  <w:tr w:rsidR="006E7E90" w14:paraId="3512FD8A" w14:textId="77777777" w:rsidTr="00931AD0">
        <w:trPr>
          <w:trHeight w:val="1280"/>
          <w:jc w:val="center"/>
        </w:trPr>
        <w:tc>
          <w:tcPr>
            <w:tcW w:w="2515" w:type="dxa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2CFE812E" w14:textId="77777777" w:rsidR="004F4BB7" w:rsidRPr="00EA23C5" w:rsidRDefault="004F4BB7" w:rsidP="00EA23C5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EA23C5">
              <w:rPr>
                <w:rFonts w:eastAsia="Montserrat"/>
                <w:b/>
                <w:color w:val="59595C"/>
                <w:sz w:val="20"/>
                <w:szCs w:val="20"/>
              </w:rPr>
              <w:t>School</w:t>
            </w:r>
          </w:p>
          <w:p w14:paraId="3AAE95B5" w14:textId="77777777" w:rsidR="006E7E90" w:rsidRP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>School Report Card</w:t>
            </w:r>
          </w:p>
        </w:tc>
        <w:tc>
          <w:tcPr>
            <w:tcW w:w="4191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B20BFB" w14:textId="77777777" w:rsidR="006E7E90" w:rsidRDefault="006E7E9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4191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782841D" w14:textId="77777777" w:rsidR="006E7E90" w:rsidRDefault="006E7E9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  <w:tr w:rsidR="006E7E90" w14:paraId="08FCC2F9" w14:textId="77777777" w:rsidTr="003D16DE">
        <w:trPr>
          <w:trHeight w:val="890"/>
          <w:jc w:val="center"/>
        </w:trPr>
        <w:tc>
          <w:tcPr>
            <w:tcW w:w="3632" w:type="dxa"/>
            <w:gridSpan w:val="2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34956908" w14:textId="77777777" w:rsidR="006E7E90" w:rsidRPr="00EA23C5" w:rsidRDefault="004F4BB7" w:rsidP="00EA23C5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EA23C5">
              <w:rPr>
                <w:rFonts w:eastAsia="Montserrat"/>
                <w:b/>
                <w:color w:val="59595C"/>
                <w:sz w:val="20"/>
                <w:szCs w:val="20"/>
              </w:rPr>
              <w:lastRenderedPageBreak/>
              <w:t>Learning Environment Surveys</w:t>
            </w:r>
          </w:p>
        </w:tc>
        <w:tc>
          <w:tcPr>
            <w:tcW w:w="3632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2EB1FD6" w14:textId="77777777" w:rsidR="006E7E90" w:rsidRDefault="006E7E9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1313CF7" w14:textId="77777777" w:rsidR="006E7E90" w:rsidRDefault="006E7E9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  <w:tr w:rsidR="004F4BB7" w14:paraId="546731AD" w14:textId="77777777" w:rsidTr="003D16DE">
        <w:trPr>
          <w:trHeight w:val="1160"/>
          <w:jc w:val="center"/>
        </w:trPr>
        <w:tc>
          <w:tcPr>
            <w:tcW w:w="3632" w:type="dxa"/>
            <w:gridSpan w:val="2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63D08C04" w14:textId="77777777" w:rsidR="004F4BB7" w:rsidRPr="00EA23C5" w:rsidRDefault="004F4BB7" w:rsidP="00EA23C5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EA23C5">
              <w:rPr>
                <w:rFonts w:eastAsia="Montserrat"/>
                <w:b/>
                <w:color w:val="59595C"/>
                <w:sz w:val="20"/>
                <w:szCs w:val="20"/>
              </w:rPr>
              <w:t>Learning</w:t>
            </w:r>
          </w:p>
          <w:p w14:paraId="5298732F" w14:textId="77777777" w:rsidR="004F4BB7" w:rsidRPr="004F4BB7" w:rsidRDefault="004F4BB7" w:rsidP="004F4BB7">
            <w:pPr>
              <w:spacing w:line="288" w:lineRule="auto"/>
              <w:ind w:left="-120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b/>
                <w:color w:val="59595C"/>
                <w:sz w:val="20"/>
                <w:szCs w:val="20"/>
              </w:rPr>
              <w:t>Environment Overview</w:t>
            </w:r>
          </w:p>
          <w:p w14:paraId="3D87A3F9" w14:textId="77777777" w:rsidR="004F4BB7" w:rsidRPr="004F4BB7" w:rsidRDefault="004F4BB7" w:rsidP="004F4BB7">
            <w:pPr>
              <w:spacing w:line="288" w:lineRule="auto"/>
              <w:ind w:left="-120"/>
              <w:rPr>
                <w:rFonts w:eastAsia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>Classroom and student features</w:t>
            </w:r>
          </w:p>
        </w:tc>
        <w:tc>
          <w:tcPr>
            <w:tcW w:w="3632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7AA4F64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BB47130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  <w:tr w:rsidR="004F4BB7" w14:paraId="754E9178" w14:textId="77777777" w:rsidTr="00931AD0">
        <w:trPr>
          <w:trHeight w:val="1520"/>
          <w:jc w:val="center"/>
        </w:trPr>
        <w:tc>
          <w:tcPr>
            <w:tcW w:w="3632" w:type="dxa"/>
            <w:gridSpan w:val="2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15E9A1C7" w14:textId="77777777" w:rsidR="004F4BB7" w:rsidRPr="00EA23C5" w:rsidRDefault="004F4BB7" w:rsidP="00EA23C5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EA23C5">
              <w:rPr>
                <w:rFonts w:eastAsia="Montserrat"/>
                <w:b/>
                <w:color w:val="59595C"/>
                <w:sz w:val="20"/>
                <w:szCs w:val="20"/>
              </w:rPr>
              <w:t xml:space="preserve">Student Academic Information </w:t>
            </w:r>
          </w:p>
          <w:p w14:paraId="3EF0004C" w14:textId="77777777" w:rsidR="004F4BB7" w:rsidRPr="004F4BB7" w:rsidRDefault="004F4BB7" w:rsidP="004F4BB7">
            <w:pPr>
              <w:spacing w:line="288" w:lineRule="auto"/>
              <w:ind w:left="-120"/>
              <w:rPr>
                <w:rFonts w:eastAsia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>Summative data on the specific content area you will be teaching for this portfolio.</w:t>
            </w:r>
          </w:p>
          <w:p w14:paraId="25398429" w14:textId="7AAEA192" w:rsidR="00BE2626" w:rsidRPr="004F4BB7" w:rsidRDefault="004F4BB7" w:rsidP="00BE2626">
            <w:pPr>
              <w:spacing w:line="288" w:lineRule="auto"/>
              <w:ind w:left="-120"/>
              <w:rPr>
                <w:rFonts w:eastAsia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>*Include data report</w:t>
            </w:r>
            <w:r w:rsidR="00BE2626">
              <w:rPr>
                <w:rFonts w:eastAsia="Montserrat"/>
                <w:color w:val="59595C"/>
                <w:sz w:val="20"/>
                <w:szCs w:val="20"/>
              </w:rPr>
              <w:t xml:space="preserve"> </w:t>
            </w:r>
            <w:r w:rsidR="00BE2626" w:rsidRPr="00BE2626">
              <w:rPr>
                <w:rFonts w:eastAsia="Montserrat"/>
                <w:color w:val="59595C"/>
                <w:sz w:val="16"/>
                <w:szCs w:val="16"/>
              </w:rPr>
              <w:t>(</w:t>
            </w:r>
            <w:proofErr w:type="spellStart"/>
            <w:r w:rsidR="00BE2626" w:rsidRPr="00BE2626">
              <w:rPr>
                <w:rFonts w:eastAsia="Montserrat"/>
                <w:color w:val="59595C"/>
                <w:sz w:val="16"/>
                <w:szCs w:val="16"/>
              </w:rPr>
              <w:t>InTASC</w:t>
            </w:r>
            <w:proofErr w:type="spellEnd"/>
            <w:r w:rsidR="00BE2626" w:rsidRPr="00BE2626">
              <w:rPr>
                <w:rFonts w:eastAsia="Montserrat"/>
                <w:color w:val="59595C"/>
                <w:sz w:val="16"/>
                <w:szCs w:val="16"/>
              </w:rPr>
              <w:t xml:space="preserve"> 1f)</w:t>
            </w:r>
          </w:p>
        </w:tc>
        <w:tc>
          <w:tcPr>
            <w:tcW w:w="3632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A8FDAC2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BC8115A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  <w:tr w:rsidR="004F4BB7" w14:paraId="73FC1B01" w14:textId="77777777" w:rsidTr="00931AD0">
        <w:trPr>
          <w:trHeight w:val="1376"/>
          <w:jc w:val="center"/>
        </w:trPr>
        <w:tc>
          <w:tcPr>
            <w:tcW w:w="3632" w:type="dxa"/>
            <w:gridSpan w:val="2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622F9876" w14:textId="77777777" w:rsidR="004F4BB7" w:rsidRPr="00EA23C5" w:rsidRDefault="004F4BB7" w:rsidP="00EA23C5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EA23C5">
              <w:rPr>
                <w:rFonts w:eastAsia="Montserrat"/>
                <w:b/>
                <w:color w:val="59595C"/>
                <w:sz w:val="20"/>
                <w:szCs w:val="20"/>
              </w:rPr>
              <w:t>Behavioral Observational Notes</w:t>
            </w:r>
          </w:p>
          <w:p w14:paraId="78C7823F" w14:textId="77777777" w:rsidR="004F4BB7" w:rsidRDefault="004F4BB7" w:rsidP="004F4BB7">
            <w:pPr>
              <w:spacing w:line="288" w:lineRule="auto"/>
              <w:ind w:left="-120"/>
              <w:rPr>
                <w:rFonts w:eastAsia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 xml:space="preserve">Anecdotal notes about student </w:t>
            </w:r>
            <w:r w:rsidR="006E3C71">
              <w:rPr>
                <w:rFonts w:eastAsia="Montserrat"/>
                <w:color w:val="59595C"/>
                <w:sz w:val="20"/>
                <w:szCs w:val="20"/>
              </w:rPr>
              <w:t xml:space="preserve">participation, behavior, and </w:t>
            </w:r>
            <w:r w:rsidRPr="004F4BB7">
              <w:rPr>
                <w:rFonts w:eastAsia="Montserrat"/>
                <w:color w:val="59595C"/>
                <w:sz w:val="20"/>
                <w:szCs w:val="20"/>
              </w:rPr>
              <w:t>learning during a lesson.</w:t>
            </w:r>
          </w:p>
          <w:p w14:paraId="56F8C80C" w14:textId="18DC906B" w:rsidR="003D16DE" w:rsidRPr="00BE2626" w:rsidRDefault="003D16DE" w:rsidP="004F4BB7">
            <w:pPr>
              <w:spacing w:line="288" w:lineRule="auto"/>
              <w:ind w:left="-120"/>
              <w:rPr>
                <w:rFonts w:eastAsia="Montserrat"/>
                <w:color w:val="59595C"/>
                <w:sz w:val="16"/>
                <w:szCs w:val="16"/>
              </w:rPr>
            </w:pPr>
            <w:r w:rsidRPr="00BE2626">
              <w:rPr>
                <w:rFonts w:eastAsia="Montserrat"/>
                <w:color w:val="5F5F5F"/>
                <w:sz w:val="16"/>
                <w:szCs w:val="16"/>
              </w:rPr>
              <w:t>(LTPGC C1)</w:t>
            </w:r>
          </w:p>
        </w:tc>
        <w:tc>
          <w:tcPr>
            <w:tcW w:w="3632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1F64C1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C690546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  <w:tr w:rsidR="004F4BB7" w14:paraId="354C0304" w14:textId="77777777" w:rsidTr="00931AD0">
        <w:trPr>
          <w:trHeight w:val="1250"/>
          <w:jc w:val="center"/>
        </w:trPr>
        <w:tc>
          <w:tcPr>
            <w:tcW w:w="3632" w:type="dxa"/>
            <w:gridSpan w:val="2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29A4E7A1" w14:textId="77777777" w:rsidR="004F4BB7" w:rsidRPr="00EA23C5" w:rsidRDefault="004F4BB7" w:rsidP="00EA23C5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eastAsia="Montserrat"/>
                <w:b/>
                <w:color w:val="59595C"/>
                <w:sz w:val="20"/>
                <w:szCs w:val="20"/>
              </w:rPr>
            </w:pPr>
            <w:r w:rsidRPr="00EA23C5">
              <w:rPr>
                <w:rFonts w:eastAsia="Montserrat"/>
                <w:b/>
                <w:color w:val="59595C"/>
                <w:sz w:val="20"/>
                <w:szCs w:val="20"/>
              </w:rPr>
              <w:t xml:space="preserve">Student Preferences </w:t>
            </w:r>
          </w:p>
          <w:p w14:paraId="3656E57A" w14:textId="77777777" w:rsidR="004F4BB7" w:rsidRPr="004F4BB7" w:rsidRDefault="004F4BB7" w:rsidP="004F4BB7">
            <w:pPr>
              <w:spacing w:line="288" w:lineRule="auto"/>
              <w:ind w:left="-120"/>
              <w:rPr>
                <w:rFonts w:eastAsia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>Choose an inventory to disseminate to students</w:t>
            </w:r>
          </w:p>
          <w:p w14:paraId="3EAE58EE" w14:textId="02A1E317" w:rsidR="00071967" w:rsidRPr="00071967" w:rsidRDefault="004F4BB7" w:rsidP="00071967">
            <w:pPr>
              <w:spacing w:line="288" w:lineRule="auto"/>
              <w:ind w:left="-120"/>
              <w:rPr>
                <w:rFonts w:eastAsia="Montserrat"/>
                <w:color w:val="59595C"/>
                <w:sz w:val="20"/>
                <w:szCs w:val="20"/>
              </w:rPr>
            </w:pPr>
            <w:r w:rsidRPr="004F4BB7">
              <w:rPr>
                <w:rFonts w:eastAsia="Montserrat"/>
                <w:color w:val="59595C"/>
                <w:sz w:val="20"/>
                <w:szCs w:val="20"/>
              </w:rPr>
              <w:t xml:space="preserve">*Include inventory and </w:t>
            </w:r>
            <w:r w:rsidR="006E3C71">
              <w:rPr>
                <w:rFonts w:eastAsia="Montserrat"/>
                <w:color w:val="59595C"/>
                <w:sz w:val="20"/>
                <w:szCs w:val="20"/>
              </w:rPr>
              <w:t xml:space="preserve">5-7 </w:t>
            </w:r>
            <w:r w:rsidRPr="004F4BB7">
              <w:rPr>
                <w:rFonts w:eastAsia="Montserrat"/>
                <w:color w:val="59595C"/>
                <w:sz w:val="20"/>
                <w:szCs w:val="20"/>
              </w:rPr>
              <w:t>student artifacts</w:t>
            </w:r>
            <w:r w:rsidR="00071967">
              <w:rPr>
                <w:rFonts w:eastAsia="Montserrat"/>
                <w:color w:val="59595C"/>
                <w:sz w:val="20"/>
                <w:szCs w:val="20"/>
              </w:rPr>
              <w:t xml:space="preserve"> </w:t>
            </w:r>
            <w:r w:rsidR="00071967" w:rsidRPr="00071967">
              <w:rPr>
                <w:rFonts w:eastAsia="Montserrat"/>
                <w:color w:val="59595C"/>
                <w:sz w:val="16"/>
                <w:szCs w:val="16"/>
              </w:rPr>
              <w:t>(</w:t>
            </w:r>
            <w:proofErr w:type="spellStart"/>
            <w:r w:rsidR="00071967" w:rsidRPr="00071967">
              <w:rPr>
                <w:rFonts w:eastAsia="Montserrat"/>
                <w:color w:val="59595C"/>
                <w:sz w:val="16"/>
                <w:szCs w:val="16"/>
              </w:rPr>
              <w:t>InTASC</w:t>
            </w:r>
            <w:proofErr w:type="spellEnd"/>
            <w:r w:rsidR="00071967" w:rsidRPr="00071967">
              <w:rPr>
                <w:rFonts w:eastAsia="Montserrat"/>
                <w:color w:val="59595C"/>
                <w:sz w:val="16"/>
                <w:szCs w:val="16"/>
              </w:rPr>
              <w:t xml:space="preserve"> 1b)</w:t>
            </w:r>
          </w:p>
        </w:tc>
        <w:tc>
          <w:tcPr>
            <w:tcW w:w="3632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196739C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3DDF6A5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  <w:tr w:rsidR="004F4BB7" w14:paraId="2409C7A5" w14:textId="77777777" w:rsidTr="00931AD0">
        <w:trPr>
          <w:trHeight w:val="684"/>
          <w:jc w:val="center"/>
        </w:trPr>
        <w:tc>
          <w:tcPr>
            <w:tcW w:w="3632" w:type="dxa"/>
            <w:gridSpan w:val="2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401C7995" w14:textId="77777777" w:rsidR="00EA23C5" w:rsidRDefault="00EA23C5" w:rsidP="00EA23C5">
            <w:pPr>
              <w:spacing w:line="288" w:lineRule="auto"/>
              <w:ind w:left="-120"/>
              <w:rPr>
                <w:rFonts w:eastAsia="Montserrat"/>
                <w:b/>
                <w:color w:val="59595C"/>
              </w:rPr>
            </w:pPr>
            <w:r>
              <w:rPr>
                <w:rFonts w:eastAsia="Montserrat"/>
                <w:b/>
                <w:color w:val="59595C"/>
              </w:rPr>
              <w:t>Additional Artifact for Score of 4:</w:t>
            </w:r>
          </w:p>
          <w:p w14:paraId="1F712DC3" w14:textId="77777777" w:rsidR="004F4BB7" w:rsidRPr="004F4BB7" w:rsidRDefault="00EA23C5" w:rsidP="00EA23C5">
            <w:pPr>
              <w:spacing w:line="288" w:lineRule="auto"/>
              <w:ind w:left="-120"/>
              <w:rPr>
                <w:rFonts w:eastAsia="Montserrat"/>
                <w:b/>
                <w:color w:val="59595C"/>
                <w:sz w:val="20"/>
                <w:szCs w:val="20"/>
              </w:rPr>
            </w:pPr>
            <w:r>
              <w:rPr>
                <w:rFonts w:eastAsia="Montserrat"/>
                <w:b/>
                <w:color w:val="59595C"/>
              </w:rPr>
              <w:t>Seating Chart</w:t>
            </w:r>
          </w:p>
        </w:tc>
        <w:tc>
          <w:tcPr>
            <w:tcW w:w="3632" w:type="dxa"/>
            <w:gridSpan w:val="2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3F54324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CFCFC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31DA9DA" w14:textId="77777777" w:rsidR="004F4BB7" w:rsidRDefault="004F4BB7" w:rsidP="004F4BB7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76777A"/>
                <w:sz w:val="20"/>
                <w:szCs w:val="20"/>
              </w:rPr>
            </w:pPr>
          </w:p>
        </w:tc>
      </w:tr>
    </w:tbl>
    <w:p w14:paraId="263CC84E" w14:textId="5E51DFA2" w:rsidR="006E7E90" w:rsidRDefault="00931AD0" w:rsidP="00340830">
      <w:pPr>
        <w:spacing w:line="288" w:lineRule="auto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eastAsia="Montserrat" w:hAnsi="Montserrat" w:cs="Montserrat"/>
          <w:color w:val="666666"/>
          <w:sz w:val="24"/>
          <w:szCs w:val="24"/>
        </w:rPr>
        <w:t xml:space="preserve">References: </w:t>
      </w:r>
    </w:p>
    <w:p w14:paraId="05FD3B12" w14:textId="3A3092EA" w:rsidR="00931AD0" w:rsidRDefault="00931AD0" w:rsidP="00340830">
      <w:pPr>
        <w:spacing w:line="288" w:lineRule="auto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eastAsia="Montserrat" w:hAnsi="Montserrat" w:cs="Montserrat"/>
          <w:color w:val="666666"/>
          <w:sz w:val="24"/>
          <w:szCs w:val="24"/>
        </w:rPr>
        <w:t xml:space="preserve">Learning Theories. (2020). Maslow’s Hierarchy of Needs. Retrieved from </w:t>
      </w:r>
      <w:hyperlink r:id="rId7" w:history="1">
        <w:r>
          <w:rPr>
            <w:rStyle w:val="Hyperlink"/>
          </w:rPr>
          <w:t>https://www.learning-theories.com/maslows-hierarchy-of-needs.html</w:t>
        </w:r>
      </w:hyperlink>
    </w:p>
    <w:sectPr w:rsidR="00931AD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F283" w14:textId="77777777" w:rsidR="00CB3F78" w:rsidRDefault="00CB3F78">
      <w:pPr>
        <w:spacing w:line="240" w:lineRule="auto"/>
      </w:pPr>
      <w:r>
        <w:separator/>
      </w:r>
    </w:p>
  </w:endnote>
  <w:endnote w:type="continuationSeparator" w:id="0">
    <w:p w14:paraId="58A44097" w14:textId="77777777" w:rsidR="00CB3F78" w:rsidRDefault="00CB3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0706" w14:textId="77777777" w:rsidR="006E7E90" w:rsidRDefault="00603C84">
    <w:pPr>
      <w:widowControl w:val="0"/>
      <w:spacing w:line="240" w:lineRule="auto"/>
    </w:pPr>
    <w:r>
      <w:rPr>
        <w:rFonts w:ascii="Montserrat" w:eastAsia="Montserrat" w:hAnsi="Montserrat" w:cs="Montserrat"/>
        <w:b/>
        <w:color w:val="005487"/>
        <w:sz w:val="18"/>
        <w:szCs w:val="18"/>
      </w:rPr>
      <w:t>McNeese • Senior Year Residency Portfolio Stage 1, Task 2</w:t>
    </w:r>
    <w:r w:rsidR="00340830">
      <w:rPr>
        <w:rFonts w:ascii="Montserrat" w:eastAsia="Montserrat" w:hAnsi="Montserrat" w:cs="Montserrat"/>
        <w:b/>
        <w:color w:val="005487"/>
        <w:sz w:val="18"/>
        <w:szCs w:val="18"/>
      </w:rPr>
      <w:t xml:space="preserve"> (revised Fall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D2E22" w14:textId="77777777" w:rsidR="00CB3F78" w:rsidRDefault="00CB3F78">
      <w:pPr>
        <w:spacing w:line="240" w:lineRule="auto"/>
      </w:pPr>
      <w:r>
        <w:separator/>
      </w:r>
    </w:p>
  </w:footnote>
  <w:footnote w:type="continuationSeparator" w:id="0">
    <w:p w14:paraId="0344D51D" w14:textId="77777777" w:rsidR="00CB3F78" w:rsidRDefault="00CB3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A4E8D"/>
    <w:multiLevelType w:val="hybridMultilevel"/>
    <w:tmpl w:val="09EE5A52"/>
    <w:lvl w:ilvl="0" w:tplc="3544DAC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491D1456"/>
    <w:multiLevelType w:val="hybridMultilevel"/>
    <w:tmpl w:val="26A27016"/>
    <w:lvl w:ilvl="0" w:tplc="98B82EB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7F6D411C"/>
    <w:multiLevelType w:val="hybridMultilevel"/>
    <w:tmpl w:val="9F98176E"/>
    <w:lvl w:ilvl="0" w:tplc="B5BECB3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90"/>
    <w:rsid w:val="00071967"/>
    <w:rsid w:val="00145AFB"/>
    <w:rsid w:val="00340830"/>
    <w:rsid w:val="00354EB3"/>
    <w:rsid w:val="003A706A"/>
    <w:rsid w:val="003D16DE"/>
    <w:rsid w:val="00461487"/>
    <w:rsid w:val="004F4BB7"/>
    <w:rsid w:val="005F5F72"/>
    <w:rsid w:val="00603C84"/>
    <w:rsid w:val="006E3C71"/>
    <w:rsid w:val="006E7E90"/>
    <w:rsid w:val="00751C2E"/>
    <w:rsid w:val="007F6D61"/>
    <w:rsid w:val="00921E00"/>
    <w:rsid w:val="00931AD0"/>
    <w:rsid w:val="009857C6"/>
    <w:rsid w:val="00AC59AF"/>
    <w:rsid w:val="00AC7EE6"/>
    <w:rsid w:val="00B070EE"/>
    <w:rsid w:val="00B81D1A"/>
    <w:rsid w:val="00BE2626"/>
    <w:rsid w:val="00C048EB"/>
    <w:rsid w:val="00CB3F78"/>
    <w:rsid w:val="00CC2500"/>
    <w:rsid w:val="00CD09AC"/>
    <w:rsid w:val="00DB4AD1"/>
    <w:rsid w:val="00E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5522"/>
  <w15:docId w15:val="{2C18B7C4-908C-4525-9075-FA0764D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F4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8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830"/>
  </w:style>
  <w:style w:type="paragraph" w:styleId="Footer">
    <w:name w:val="footer"/>
    <w:basedOn w:val="Normal"/>
    <w:link w:val="FooterChar"/>
    <w:uiPriority w:val="99"/>
    <w:unhideWhenUsed/>
    <w:rsid w:val="003408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830"/>
  </w:style>
  <w:style w:type="paragraph" w:styleId="BalloonText">
    <w:name w:val="Balloon Text"/>
    <w:basedOn w:val="Normal"/>
    <w:link w:val="BalloonTextChar"/>
    <w:uiPriority w:val="99"/>
    <w:semiHidden/>
    <w:unhideWhenUsed/>
    <w:rsid w:val="00B070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1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arning-theories.com/maslows-hierarchy-of-nee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McNeese</dc:creator>
  <cp:lastModifiedBy>Angelique Ogea</cp:lastModifiedBy>
  <cp:revision>16</cp:revision>
  <cp:lastPrinted>2020-08-12T21:04:00Z</cp:lastPrinted>
  <dcterms:created xsi:type="dcterms:W3CDTF">2019-07-30T18:25:00Z</dcterms:created>
  <dcterms:modified xsi:type="dcterms:W3CDTF">2020-08-13T13:34:00Z</dcterms:modified>
</cp:coreProperties>
</file>